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bookmarkStart w:id="0" w:name="_GoBack"/>
            <w:bookmarkEnd w:id="0"/>
            <w:r>
              <w:rPr>
                <w:rtl/>
              </w:rPr>
              <w:t xml:space="preserve"> </w:t>
            </w:r>
            <w:r w:rsidRPr="008A59EE">
              <w:rPr>
                <w:rFonts w:ascii="Arial" w:hAnsi="Arial" w:hint="cs"/>
                <w:b/>
                <w:bCs/>
                <w:sz w:val="26"/>
                <w:szCs w:val="26"/>
                <w:rtl/>
              </w:rPr>
              <w:t>ב</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4165AD" w:rsidRDefault="006F48E1">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B6334C" w:rsidP="00B8215B">
            <w:pPr>
              <w:suppressLineNumbers/>
              <w:spacing w:line="360" w:lineRule="auto"/>
              <w:rPr>
                <w:b/>
                <w:bCs/>
                <w:noProof w:val="0"/>
                <w:sz w:val="26"/>
                <w:szCs w:val="26"/>
              </w:rPr>
            </w:pPr>
            <w:sdt>
              <w:sdtPr>
                <w:rPr>
                  <w:rFonts w:ascii="David" w:hAnsi="David"/>
                  <w:b/>
                  <w:bCs/>
                  <w:sz w:val="26"/>
                  <w:szCs w:val="26"/>
                  <w:rtl/>
                </w:rPr>
                <w:alias w:val="3151"/>
                <w:tag w:val="3151"/>
                <w:id w:val="1166218717"/>
                <w:placeholder>
                  <w:docPart w:val="1C8A38705F7143EA87FF3DEB2C34E7E5"/>
                </w:placeholder>
                <w:text w:multiLine="1"/>
              </w:sdtPr>
              <w:sdtEndPr/>
              <w:sdtContent>
                <w:r w:rsidR="00B8215B">
                  <w:rPr>
                    <w:rFonts w:ascii="David" w:hAnsi="David" w:hint="cs"/>
                    <w:b/>
                    <w:bCs/>
                    <w:sz w:val="26"/>
                    <w:szCs w:val="26"/>
                    <w:rtl/>
                  </w:rPr>
                  <w:t xml:space="preserve">מ. ע. </w:t>
                </w:r>
                <w:r w:rsidR="006F48E1">
                  <w:rPr>
                    <w:rFonts w:ascii="David" w:hAnsi="David"/>
                    <w:b/>
                    <w:bCs/>
                    <w:sz w:val="26"/>
                    <w:szCs w:val="26"/>
                    <w:rtl/>
                  </w:rPr>
                  <w:br/>
                </w:r>
                <w:r w:rsidR="006F48E1" w:rsidRPr="006F48E1">
                  <w:rPr>
                    <w:rFonts w:ascii="David" w:hAnsi="David"/>
                    <w:b/>
                    <w:bCs/>
                    <w:sz w:val="26"/>
                    <w:szCs w:val="26"/>
                    <w:rtl/>
                  </w:rPr>
                  <w:t>ע"י ב"כ עוה"ד יניב סברדליק</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6F48E1">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B6334C" w:rsidP="00D44968">
            <w:pPr>
              <w:suppressLineNumbers/>
              <w:rPr>
                <w:rFonts w:ascii="Arial" w:hAnsi="Arial"/>
                <w:b/>
                <w:bCs/>
                <w:noProof w:val="0"/>
                <w:sz w:val="26"/>
                <w:szCs w:val="26"/>
              </w:rPr>
            </w:pPr>
            <w:sdt>
              <w:sdtPr>
                <w:rPr>
                  <w:rtl/>
                </w:rPr>
                <w:alias w:val="1184"/>
                <w:tag w:val="1184"/>
                <w:id w:val="-340621022"/>
                <w:text w:multiLine="1"/>
              </w:sdtPr>
              <w:sdtEndPr/>
              <w:sdtContent>
                <w:r w:rsidR="00FE09EC">
                  <w:rPr>
                    <w:rFonts w:ascii="Arial" w:hAnsi="Arial"/>
                    <w:b/>
                    <w:bCs/>
                    <w:noProof w:val="0"/>
                    <w:sz w:val="26"/>
                    <w:szCs w:val="26"/>
                    <w:rtl/>
                  </w:rPr>
                  <w:t>משיבים</w:t>
                </w:r>
              </w:sdtContent>
            </w:sdt>
          </w:p>
        </w:tc>
        <w:tc>
          <w:tcPr>
            <w:tcW w:w="5571" w:type="dxa"/>
          </w:tcPr>
          <w:p w:rsidR="00CF6BB7" w:rsidRPr="00CD516B" w:rsidRDefault="00B6334C" w:rsidP="00B8215B">
            <w:pPr>
              <w:suppressLineNumbers/>
              <w:spacing w:line="360" w:lineRule="auto"/>
              <w:rPr>
                <w:rFonts w:ascii="Arial" w:hAnsi="Arial"/>
                <w:b/>
                <w:bCs/>
                <w:noProof w:val="0"/>
                <w:sz w:val="26"/>
                <w:szCs w:val="26"/>
                <w:rtl/>
              </w:rPr>
            </w:pPr>
            <w:sdt>
              <w:sdtPr>
                <w:rPr>
                  <w:rFonts w:ascii="Arial" w:hAnsi="Arial"/>
                  <w:b/>
                  <w:bCs/>
                  <w:noProof w:val="0"/>
                  <w:sz w:val="26"/>
                  <w:szCs w:val="26"/>
                  <w:rtl/>
                </w:rPr>
                <w:alias w:val="1571"/>
                <w:tag w:val="1571"/>
                <w:id w:val="1028836282"/>
                <w:text w:multiLine="1"/>
              </w:sdtPr>
              <w:sdtEndPr/>
              <w:sdtContent>
                <w:r w:rsidR="00FE09EC">
                  <w:rPr>
                    <w:rFonts w:ascii="Arial" w:hAnsi="Arial"/>
                    <w:b/>
                    <w:bCs/>
                    <w:noProof w:val="0"/>
                    <w:sz w:val="26"/>
                    <w:szCs w:val="26"/>
                    <w:rtl/>
                  </w:rPr>
                  <w:t>1</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David" w:hAnsi="David"/>
                  <w:b/>
                  <w:bCs/>
                  <w:sz w:val="26"/>
                  <w:szCs w:val="26"/>
                  <w:rtl/>
                </w:rPr>
                <w:alias w:val="3152"/>
                <w:tag w:val="3152"/>
                <w:id w:val="-1346628691"/>
                <w:placeholder>
                  <w:docPart w:val="4DC45A2FD697422FAA3CD896A84FA7B4"/>
                </w:placeholder>
                <w:text w:multiLine="1"/>
              </w:sdtPr>
              <w:sdtEndPr/>
              <w:sdtContent>
                <w:r w:rsidR="00B8215B">
                  <w:rPr>
                    <w:rFonts w:ascii="David" w:hAnsi="David"/>
                    <w:b/>
                    <w:bCs/>
                    <w:sz w:val="26"/>
                    <w:szCs w:val="26"/>
                    <w:rtl/>
                  </w:rPr>
                  <w:t>כ</w:t>
                </w:r>
                <w:r w:rsidR="00B8215B">
                  <w:rPr>
                    <w:rFonts w:ascii="David" w:hAnsi="David" w:hint="cs"/>
                    <w:b/>
                    <w:bCs/>
                    <w:sz w:val="26"/>
                    <w:szCs w:val="26"/>
                    <w:rtl/>
                  </w:rPr>
                  <w:t>. ו</w:t>
                </w:r>
              </w:sdtContent>
            </w:sdt>
          </w:p>
          <w:p w:rsidR="00CF6BB7" w:rsidRPr="00CD516B" w:rsidRDefault="00B6334C" w:rsidP="006F48E1">
            <w:pPr>
              <w:suppressLineNumbers/>
              <w:rPr>
                <w:rFonts w:ascii="Arial" w:hAnsi="Arial"/>
                <w:b/>
                <w:bCs/>
                <w:noProof w:val="0"/>
                <w:sz w:val="26"/>
                <w:szCs w:val="26"/>
                <w:rtl/>
              </w:rPr>
            </w:pPr>
            <w:sdt>
              <w:sdtPr>
                <w:rPr>
                  <w:rFonts w:ascii="Arial" w:hAnsi="Arial"/>
                  <w:b/>
                  <w:bCs/>
                  <w:noProof w:val="0"/>
                  <w:sz w:val="26"/>
                  <w:szCs w:val="26"/>
                  <w:rtl/>
                </w:rPr>
                <w:alias w:val="1571"/>
                <w:tag w:val="1571"/>
                <w:id w:val="665827527"/>
                <w:text w:multiLine="1"/>
              </w:sdtPr>
              <w:sdtEndPr/>
              <w:sdtContent>
                <w:r w:rsidR="00FE09EC">
                  <w:rPr>
                    <w:rFonts w:ascii="Arial" w:hAnsi="Arial"/>
                    <w:b/>
                    <w:bCs/>
                    <w:noProof w:val="0"/>
                    <w:sz w:val="26"/>
                    <w:szCs w:val="26"/>
                    <w:rtl/>
                  </w:rPr>
                  <w:t>2</w:t>
                </w:r>
              </w:sdtContent>
            </w:sdt>
            <w:r w:rsidR="0094424E">
              <w:rPr>
                <w:rFonts w:ascii="Arial" w:hAnsi="Arial"/>
                <w:b/>
                <w:bCs/>
                <w:noProof w:val="0"/>
                <w:sz w:val="26"/>
                <w:szCs w:val="26"/>
                <w:rtl/>
              </w:rPr>
              <w:t>.</w:t>
            </w:r>
            <w:r w:rsidR="0094424E">
              <w:rPr>
                <w:rFonts w:ascii="Arial" w:hAnsi="Arial" w:hint="cs"/>
                <w:b/>
                <w:bCs/>
                <w:noProof w:val="0"/>
                <w:sz w:val="26"/>
                <w:szCs w:val="26"/>
                <w:rtl/>
              </w:rPr>
              <w:t xml:space="preserve"> </w:t>
            </w:r>
            <w:sdt>
              <w:sdtPr>
                <w:rPr>
                  <w:rFonts w:ascii="David" w:hAnsi="David"/>
                  <w:b/>
                  <w:bCs/>
                  <w:sz w:val="26"/>
                  <w:szCs w:val="26"/>
                  <w:rtl/>
                </w:rPr>
                <w:alias w:val="3152"/>
                <w:tag w:val="3152"/>
                <w:id w:val="-865977675"/>
                <w:placeholder>
                  <w:docPart w:val="4DC45A2FD697422FAA3CD896A84FA7B4"/>
                </w:placeholder>
                <w:text w:multiLine="1"/>
              </w:sdtPr>
              <w:sdtEndPr/>
              <w:sdtContent>
                <w:r w:rsidR="00B8215B">
                  <w:rPr>
                    <w:rFonts w:ascii="David" w:hAnsi="David"/>
                    <w:b/>
                    <w:bCs/>
                    <w:sz w:val="26"/>
                    <w:szCs w:val="26"/>
                    <w:rtl/>
                  </w:rPr>
                  <w:t>ד</w:t>
                </w:r>
                <w:r w:rsidR="00B8215B">
                  <w:rPr>
                    <w:rFonts w:ascii="David" w:hAnsi="David" w:hint="cs"/>
                    <w:b/>
                    <w:bCs/>
                    <w:sz w:val="26"/>
                    <w:szCs w:val="26"/>
                    <w:rtl/>
                  </w:rPr>
                  <w:t>. ע. ס</w:t>
                </w:r>
                <w:r w:rsidR="006F48E1">
                  <w:rPr>
                    <w:rFonts w:ascii="David" w:hAnsi="David"/>
                    <w:b/>
                    <w:bCs/>
                    <w:sz w:val="26"/>
                    <w:szCs w:val="26"/>
                    <w:rtl/>
                  </w:rPr>
                  <w:br/>
                </w:r>
              </w:sdtContent>
            </w:sdt>
          </w:p>
        </w:tc>
      </w:tr>
    </w:tbl>
    <w:p w:rsidR="006F48E1" w:rsidRDefault="006F48E1" w:rsidP="006F48E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F48E1" w:rsidRPr="00DE1E7D" w:rsidTr="002F00CD">
        <w:trPr>
          <w:jc w:val="center"/>
        </w:trPr>
        <w:tc>
          <w:tcPr>
            <w:tcW w:w="8820" w:type="dxa"/>
          </w:tcPr>
          <w:p w:rsidR="006F48E1" w:rsidRDefault="006F48E1" w:rsidP="006F48E1">
            <w:pPr>
              <w:bidi w:val="0"/>
              <w:spacing w:line="360" w:lineRule="auto"/>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6F48E1" w:rsidRPr="00D44968" w:rsidRDefault="006F48E1" w:rsidP="002F00CD">
            <w:pPr>
              <w:bidi w:val="0"/>
              <w:jc w:val="center"/>
              <w:rPr>
                <w:rFonts w:ascii="Arial" w:hAnsi="Arial"/>
                <w:b/>
                <w:bCs/>
                <w:noProof w:val="0"/>
                <w:sz w:val="28"/>
                <w:szCs w:val="28"/>
                <w:u w:val="single"/>
              </w:rPr>
            </w:pPr>
          </w:p>
        </w:tc>
      </w:tr>
    </w:tbl>
    <w:p w:rsidR="006F48E1" w:rsidRDefault="006F48E1" w:rsidP="00783014">
      <w:pPr>
        <w:spacing w:after="120" w:line="360" w:lineRule="auto"/>
        <w:ind w:left="720" w:hanging="720"/>
        <w:jc w:val="both"/>
        <w:rPr>
          <w:rFonts w:ascii="David" w:hAnsi="David"/>
          <w:rtl/>
        </w:rPr>
      </w:pPr>
      <w:r>
        <w:rPr>
          <w:rFonts w:ascii="David" w:hAnsi="David"/>
          <w:rtl/>
        </w:rPr>
        <w:t>1.</w:t>
      </w:r>
      <w:r>
        <w:rPr>
          <w:rFonts w:ascii="David" w:hAnsi="David"/>
          <w:rtl/>
        </w:rPr>
        <w:tab/>
        <w:t>לפניי בקשת רשות ערעור על החלטת בית משפט לענייני משפחה בחיפה (כב' השופטת ענבל קצב קרן),</w:t>
      </w:r>
      <w:r>
        <w:rPr>
          <w:rFonts w:ascii="David" w:hAnsi="David" w:hint="cs"/>
          <w:rtl/>
        </w:rPr>
        <w:t xml:space="preserve"> </w:t>
      </w:r>
      <w:r>
        <w:rPr>
          <w:rFonts w:ascii="David" w:hAnsi="David"/>
          <w:rtl/>
        </w:rPr>
        <w:t>מיום 30.4.23 בתיק תמ"ש 18519-12-22 (להלן: "</w:t>
      </w:r>
      <w:r>
        <w:rPr>
          <w:rFonts w:ascii="David" w:hAnsi="David"/>
          <w:b/>
          <w:bCs/>
          <w:rtl/>
        </w:rPr>
        <w:t>ההחלטה קמא</w:t>
      </w:r>
      <w:r>
        <w:rPr>
          <w:rFonts w:ascii="David" w:hAnsi="David"/>
          <w:rtl/>
        </w:rPr>
        <w:t>" ו- "</w:t>
      </w:r>
      <w:r>
        <w:rPr>
          <w:rFonts w:ascii="David" w:hAnsi="David"/>
          <w:b/>
          <w:bCs/>
          <w:rtl/>
        </w:rPr>
        <w:t>התיק קמא</w:t>
      </w:r>
      <w:r>
        <w:rPr>
          <w:rFonts w:ascii="David" w:hAnsi="David"/>
          <w:rtl/>
        </w:rPr>
        <w:t>", בהתאמה). במסגרת ההחלטה קמא נקבע כי אין להורות בשלב זה על העברת מלוא דמי השכירות המתקבלים עבור הדירה (שפרטיה להלן) לידי המבקש, והכל כפי שיפורט להלן.</w:t>
      </w:r>
    </w:p>
    <w:p w:rsidR="006F48E1" w:rsidRDefault="006F48E1" w:rsidP="00783014">
      <w:pPr>
        <w:spacing w:after="120" w:line="360" w:lineRule="auto"/>
        <w:jc w:val="both"/>
        <w:rPr>
          <w:rFonts w:ascii="David" w:hAnsi="David"/>
          <w:rtl/>
        </w:rPr>
      </w:pPr>
    </w:p>
    <w:p w:rsidR="006F48E1" w:rsidRDefault="006F48E1" w:rsidP="00783014">
      <w:pPr>
        <w:spacing w:after="120" w:line="360" w:lineRule="auto"/>
        <w:jc w:val="both"/>
        <w:rPr>
          <w:rFonts w:ascii="David" w:hAnsi="David"/>
          <w:b/>
          <w:bCs/>
          <w:u w:val="single"/>
          <w:rtl/>
        </w:rPr>
      </w:pPr>
      <w:r>
        <w:rPr>
          <w:rFonts w:ascii="David" w:hAnsi="David"/>
          <w:b/>
          <w:bCs/>
          <w:u w:val="single"/>
          <w:rtl/>
        </w:rPr>
        <w:t>רקע וההחלטה קמא</w:t>
      </w:r>
    </w:p>
    <w:p w:rsidR="006F48E1" w:rsidRDefault="006F48E1" w:rsidP="00B8215B">
      <w:pPr>
        <w:spacing w:after="120" w:line="360" w:lineRule="auto"/>
        <w:jc w:val="both"/>
        <w:rPr>
          <w:rFonts w:ascii="David" w:hAnsi="David"/>
          <w:rtl/>
        </w:rPr>
      </w:pPr>
      <w:r>
        <w:rPr>
          <w:rFonts w:ascii="David" w:hAnsi="David"/>
          <w:rtl/>
        </w:rPr>
        <w:t>2.</w:t>
      </w:r>
      <w:r>
        <w:rPr>
          <w:rFonts w:ascii="David" w:hAnsi="David"/>
          <w:rtl/>
        </w:rPr>
        <w:tab/>
        <w:t xml:space="preserve">המבקש הינו בנם של המנוחים </w:t>
      </w:r>
      <w:r w:rsidR="00B8215B">
        <w:rPr>
          <w:rFonts w:ascii="David" w:hAnsi="David" w:hint="cs"/>
          <w:rtl/>
        </w:rPr>
        <w:t>...</w:t>
      </w:r>
      <w:r>
        <w:rPr>
          <w:rFonts w:ascii="David" w:hAnsi="David"/>
          <w:rtl/>
        </w:rPr>
        <w:t xml:space="preserve"> ז"ל (להלן: "</w:t>
      </w:r>
      <w:r>
        <w:rPr>
          <w:rFonts w:ascii="David" w:hAnsi="David"/>
          <w:b/>
          <w:bCs/>
          <w:rtl/>
        </w:rPr>
        <w:t>המנוחים</w:t>
      </w:r>
      <w:r>
        <w:rPr>
          <w:rFonts w:ascii="David" w:hAnsi="David"/>
          <w:rtl/>
        </w:rPr>
        <w:t>"), אשר היו בעלי</w:t>
      </w:r>
      <w:r w:rsidR="00B8215B">
        <w:rPr>
          <w:rFonts w:ascii="David" w:hAnsi="David" w:hint="cs"/>
          <w:rtl/>
        </w:rPr>
        <w:t xml:space="preserve"> </w:t>
      </w:r>
      <w:r>
        <w:rPr>
          <w:rFonts w:ascii="David" w:hAnsi="David"/>
          <w:rtl/>
        </w:rPr>
        <w:t>הזכוי</w:t>
      </w:r>
      <w:r w:rsidR="00B8215B">
        <w:rPr>
          <w:rFonts w:ascii="David" w:hAnsi="David"/>
          <w:rtl/>
        </w:rPr>
        <w:t xml:space="preserve">ות בדירה ברח' </w:t>
      </w:r>
      <w:r w:rsidR="00B8215B">
        <w:rPr>
          <w:rFonts w:ascii="David" w:hAnsi="David" w:hint="cs"/>
          <w:rtl/>
        </w:rPr>
        <w:t>....</w:t>
      </w:r>
      <w:r>
        <w:rPr>
          <w:rFonts w:ascii="David" w:hAnsi="David"/>
          <w:rtl/>
        </w:rPr>
        <w:t xml:space="preserve">, </w:t>
      </w:r>
      <w:r w:rsidR="00B8215B">
        <w:rPr>
          <w:rFonts w:ascii="David" w:hAnsi="David"/>
          <w:rtl/>
        </w:rPr>
        <w:tab/>
      </w:r>
      <w:r>
        <w:rPr>
          <w:rFonts w:ascii="David" w:hAnsi="David"/>
          <w:rtl/>
        </w:rPr>
        <w:t xml:space="preserve">הידועה כחלק מגוש </w:t>
      </w:r>
      <w:r w:rsidR="00B8215B">
        <w:rPr>
          <w:rFonts w:ascii="David" w:hAnsi="David" w:hint="cs"/>
          <w:rtl/>
        </w:rPr>
        <w:t>....</w:t>
      </w:r>
      <w:r>
        <w:rPr>
          <w:rFonts w:ascii="David" w:hAnsi="David"/>
          <w:rtl/>
        </w:rPr>
        <w:t xml:space="preserve"> חלקה </w:t>
      </w:r>
      <w:r w:rsidR="00B8215B">
        <w:rPr>
          <w:rFonts w:ascii="David" w:hAnsi="David" w:hint="cs"/>
          <w:rtl/>
        </w:rPr>
        <w:t>....</w:t>
      </w:r>
      <w:r>
        <w:rPr>
          <w:rFonts w:ascii="David" w:hAnsi="David"/>
          <w:rtl/>
        </w:rPr>
        <w:t xml:space="preserve"> (להל</w:t>
      </w:r>
      <w:r w:rsidR="00B8215B">
        <w:rPr>
          <w:rFonts w:ascii="David" w:hAnsi="David"/>
          <w:rtl/>
        </w:rPr>
        <w:t xml:space="preserve">ן: </w:t>
      </w:r>
      <w:r>
        <w:rPr>
          <w:rFonts w:ascii="David" w:hAnsi="David"/>
          <w:rtl/>
        </w:rPr>
        <w:t>"</w:t>
      </w:r>
      <w:r>
        <w:rPr>
          <w:rFonts w:ascii="David" w:hAnsi="David"/>
          <w:b/>
          <w:bCs/>
          <w:rtl/>
        </w:rPr>
        <w:t>הדירה</w:t>
      </w:r>
      <w:r>
        <w:rPr>
          <w:rFonts w:ascii="David" w:hAnsi="David"/>
          <w:rtl/>
        </w:rPr>
        <w:t xml:space="preserve">"). </w:t>
      </w:r>
    </w:p>
    <w:p w:rsidR="006F48E1" w:rsidRDefault="006F48E1" w:rsidP="00783014">
      <w:pPr>
        <w:spacing w:after="120" w:line="360" w:lineRule="auto"/>
        <w:jc w:val="both"/>
        <w:rPr>
          <w:rFonts w:ascii="David" w:hAnsi="David"/>
        </w:rPr>
      </w:pPr>
      <w:r>
        <w:rPr>
          <w:rFonts w:ascii="David" w:hAnsi="David"/>
          <w:rtl/>
        </w:rPr>
        <w:tab/>
        <w:t>משיבה 1 היא אלמנת אחיו המנוח של המבקש (להלן: "</w:t>
      </w:r>
      <w:r>
        <w:rPr>
          <w:rFonts w:ascii="David" w:hAnsi="David"/>
          <w:b/>
          <w:bCs/>
          <w:rtl/>
        </w:rPr>
        <w:t>המשיבה</w:t>
      </w:r>
      <w:r>
        <w:rPr>
          <w:rFonts w:ascii="David" w:hAnsi="David"/>
          <w:rtl/>
        </w:rPr>
        <w:t xml:space="preserve">"). </w:t>
      </w:r>
    </w:p>
    <w:p w:rsidR="006F48E1" w:rsidRDefault="006F48E1" w:rsidP="00783014">
      <w:pPr>
        <w:spacing w:after="120" w:line="360" w:lineRule="auto"/>
        <w:jc w:val="both"/>
        <w:rPr>
          <w:rFonts w:ascii="David" w:hAnsi="David"/>
          <w:rtl/>
        </w:rPr>
      </w:pPr>
      <w:r>
        <w:rPr>
          <w:rFonts w:ascii="David" w:hAnsi="David"/>
          <w:rtl/>
        </w:rPr>
        <w:tab/>
        <w:t xml:space="preserve">משיבה 2 היא בתו של המבקש. </w:t>
      </w:r>
    </w:p>
    <w:p w:rsidR="006F48E1" w:rsidRDefault="006F48E1" w:rsidP="00783014">
      <w:pPr>
        <w:spacing w:after="120" w:line="360" w:lineRule="auto"/>
        <w:jc w:val="both"/>
        <w:rPr>
          <w:rFonts w:ascii="David" w:hAnsi="David"/>
          <w:rtl/>
        </w:rPr>
      </w:pPr>
      <w:r>
        <w:rPr>
          <w:rFonts w:ascii="David" w:hAnsi="David"/>
          <w:rtl/>
        </w:rPr>
        <w:t>3.</w:t>
      </w:r>
      <w:r>
        <w:rPr>
          <w:rFonts w:ascii="David" w:hAnsi="David"/>
          <w:rtl/>
        </w:rPr>
        <w:tab/>
        <w:t xml:space="preserve">בהתאם לצווי קיום צוואת המנוחים הועברו הזכויות בדירה, בחלקים שווים למשיבה 2 ולבעלה של </w:t>
      </w:r>
      <w:r>
        <w:rPr>
          <w:rFonts w:ascii="David" w:hAnsi="David"/>
          <w:rtl/>
        </w:rPr>
        <w:tab/>
        <w:t xml:space="preserve">המשיבה (ולאחר פטירתו למשיבה). הזכויות רשומות כיום ע"ש שתי המשיבות בחלקים שווים. עוד </w:t>
      </w:r>
      <w:r>
        <w:rPr>
          <w:rFonts w:ascii="David" w:hAnsi="David"/>
          <w:rtl/>
        </w:rPr>
        <w:tab/>
        <w:t>בהתאם לצוואות המנוחים, למבקש זכות מגורים בדירה לכל חייו.</w:t>
      </w:r>
    </w:p>
    <w:p w:rsidR="006F48E1" w:rsidRDefault="006F48E1" w:rsidP="00783014">
      <w:pPr>
        <w:spacing w:after="120" w:line="360" w:lineRule="auto"/>
        <w:jc w:val="both"/>
        <w:rPr>
          <w:rFonts w:ascii="David" w:hAnsi="David"/>
          <w:rtl/>
        </w:rPr>
      </w:pPr>
      <w:r>
        <w:rPr>
          <w:rFonts w:ascii="David" w:hAnsi="David"/>
          <w:rtl/>
        </w:rPr>
        <w:t>4.</w:t>
      </w:r>
      <w:r>
        <w:rPr>
          <w:rFonts w:ascii="David" w:hAnsi="David"/>
          <w:rtl/>
        </w:rPr>
        <w:tab/>
        <w:t>המבקש הגיש תובענה בתיק קמא לקבוע, כי זכויות השימוש בדירה (מגורים או השכרה, כאמור</w:t>
      </w:r>
      <w:r>
        <w:rPr>
          <w:rFonts w:ascii="David" w:hAnsi="David" w:hint="cs"/>
          <w:rtl/>
        </w:rPr>
        <w:t xml:space="preserve"> </w:t>
      </w:r>
      <w:r>
        <w:rPr>
          <w:rFonts w:ascii="David" w:hAnsi="David"/>
          <w:rtl/>
        </w:rPr>
        <w:tab/>
        <w:t xml:space="preserve">בכתב התביעה קמא) נתונות ומוקנות בלעדית למבקש לכל ימי חייו.  </w:t>
      </w:r>
    </w:p>
    <w:p w:rsidR="006F48E1" w:rsidRDefault="006F48E1" w:rsidP="00783014">
      <w:pPr>
        <w:spacing w:after="120" w:line="360" w:lineRule="auto"/>
        <w:ind w:left="720"/>
        <w:jc w:val="both"/>
        <w:rPr>
          <w:rFonts w:ascii="David" w:hAnsi="David"/>
        </w:rPr>
      </w:pPr>
      <w:r>
        <w:rPr>
          <w:rFonts w:ascii="David" w:hAnsi="David"/>
          <w:rtl/>
        </w:rPr>
        <w:t>ביום 13.12.2022 הגיש המבקש בקשה בתיק קמא, למתן סעד זמני המורה, לטענתו, על שמירת המצב הקיים בכל בנוגע לשימוש בדירה, באופן בו יינתן צו המורה כי המבקש בלבד הוא שיכול לחדש/ לחתום על הסכם שכירות בדירה, וכי המשיבה תמנע מביצוע פעולות סיכול של האמור, ועל השכרתה על ידי המבקש לצד ג'.</w:t>
      </w:r>
    </w:p>
    <w:p w:rsidR="006F48E1" w:rsidRDefault="006F48E1" w:rsidP="00783014">
      <w:pPr>
        <w:spacing w:after="120" w:line="360" w:lineRule="auto"/>
        <w:ind w:left="720" w:hanging="721"/>
        <w:jc w:val="both"/>
        <w:rPr>
          <w:rFonts w:ascii="David" w:hAnsi="David"/>
          <w:rtl/>
        </w:rPr>
      </w:pPr>
      <w:r>
        <w:rPr>
          <w:rFonts w:ascii="David" w:hAnsi="David"/>
          <w:rtl/>
        </w:rPr>
        <w:lastRenderedPageBreak/>
        <w:t>5.</w:t>
      </w:r>
      <w:r>
        <w:rPr>
          <w:rFonts w:ascii="David" w:hAnsi="David"/>
          <w:rtl/>
        </w:rPr>
        <w:tab/>
        <w:t xml:space="preserve">בבקשתו ציין המבקש, כי בדירה קיימת שוכרת, אשר הסכם השכירות עמה מסתיים בחודש 12/2022. </w:t>
      </w:r>
    </w:p>
    <w:p w:rsidR="006F48E1" w:rsidRDefault="006F48E1" w:rsidP="00783014">
      <w:pPr>
        <w:spacing w:after="120" w:line="360" w:lineRule="auto"/>
        <w:ind w:left="720" w:hanging="721"/>
        <w:jc w:val="both"/>
        <w:rPr>
          <w:rFonts w:ascii="David" w:hAnsi="David"/>
          <w:rtl/>
        </w:rPr>
      </w:pPr>
      <w:r>
        <w:rPr>
          <w:rFonts w:ascii="David" w:hAnsi="David"/>
          <w:rtl/>
        </w:rPr>
        <w:t>6.</w:t>
      </w:r>
      <w:r>
        <w:rPr>
          <w:rFonts w:ascii="David" w:hAnsi="David"/>
          <w:rtl/>
        </w:rPr>
        <w:tab/>
        <w:t>בהחלטה בתיק קמא מיום 2.1.2023 הוצע לצדדים לחתום על הסכם שכירות עם השוכרת, כאשר מחצית מדמי השכירות (חלקה של המשיבה) יופקד בחשבון נאמנות. כן נקבע כי יתקיים דיון בבקשה ביום 1.2.2023.</w:t>
      </w:r>
      <w:r>
        <w:rPr>
          <w:rFonts w:ascii="David" w:hAnsi="David"/>
          <w:u w:val="single"/>
          <w:rtl/>
        </w:rPr>
        <w:t xml:space="preserve">  </w:t>
      </w:r>
    </w:p>
    <w:p w:rsidR="006F48E1" w:rsidRDefault="006F48E1" w:rsidP="00783014">
      <w:pPr>
        <w:spacing w:after="120" w:line="360" w:lineRule="auto"/>
        <w:ind w:left="720" w:hanging="721"/>
        <w:jc w:val="both"/>
        <w:rPr>
          <w:rFonts w:ascii="David" w:hAnsi="David"/>
          <w:rtl/>
        </w:rPr>
      </w:pPr>
      <w:r>
        <w:rPr>
          <w:rFonts w:ascii="David" w:hAnsi="David"/>
          <w:rtl/>
        </w:rPr>
        <w:t>7.</w:t>
      </w:r>
      <w:r>
        <w:rPr>
          <w:rFonts w:ascii="David" w:hAnsi="David"/>
          <w:rtl/>
        </w:rPr>
        <w:tab/>
        <w:t xml:space="preserve">בדיון שהתקיים ביום 1.2.2023 הודיע המבקש כי בהיעדר הסכמה לפיה דמי השכירות עבור הדירה יועברו לידיו, הוא מבקש לשוב ולהתגורר בדירה. מאידך גיסא טענה המשיבה כי יש לבצע התחשבנות בין הצדדים לעניין קיומו של חוב עבר (מחצית דמי שכירות), וכי שובו של המבקש למגורים בדירה צריך שיהיה גם בהסכמתה ועליו לפנות אליה בנדון. בסיומו של הדיון, הודיע המבקש על מחיקת בקשתו למתן הסעד הזמני, וכך הורה בית משפט קמא. </w:t>
      </w:r>
    </w:p>
    <w:p w:rsidR="006F48E1" w:rsidRDefault="006F48E1" w:rsidP="00783014">
      <w:pPr>
        <w:spacing w:after="120" w:line="360" w:lineRule="auto"/>
        <w:ind w:left="720" w:hanging="721"/>
        <w:jc w:val="both"/>
        <w:rPr>
          <w:rFonts w:ascii="David" w:hAnsi="David"/>
          <w:rtl/>
        </w:rPr>
      </w:pPr>
      <w:r>
        <w:rPr>
          <w:rFonts w:ascii="David" w:hAnsi="David"/>
          <w:rtl/>
        </w:rPr>
        <w:t>8.</w:t>
      </w:r>
      <w:r>
        <w:rPr>
          <w:rFonts w:ascii="David" w:hAnsi="David"/>
          <w:rtl/>
        </w:rPr>
        <w:tab/>
        <w:t>ביום</w:t>
      </w:r>
      <w:r>
        <w:rPr>
          <w:rFonts w:ascii="David" w:hAnsi="David"/>
          <w:b/>
          <w:bCs/>
          <w:rtl/>
        </w:rPr>
        <w:t xml:space="preserve"> </w:t>
      </w:r>
      <w:r>
        <w:rPr>
          <w:rFonts w:ascii="David" w:hAnsi="David"/>
          <w:rtl/>
        </w:rPr>
        <w:t xml:space="preserve">9.2.2023, הודיע המבקש, כי המשיבה הודיעה על התנגדותה לפינוי השוכרת, ועל כן הוא עומד על המשך קיומו של ההליך, וכן עותר לחדש את בקשתו לסעד זמני. לטענתו, רק באמצעות צו כאמור יהא כדי להחזיר המצב לקדמותו. לטענתו, נזקיו מידיים – ניטלה ממנו הזכות לקבל דמי שכירות וכן להתגורר בנכס, בעוד שלמשיבה לא נגרם כל נזק/שינוי במצבה כפי שהיה עד היום. </w:t>
      </w:r>
    </w:p>
    <w:p w:rsidR="006F48E1" w:rsidRDefault="006F48E1" w:rsidP="00783014">
      <w:pPr>
        <w:spacing w:after="120" w:line="360" w:lineRule="auto"/>
        <w:ind w:left="720" w:hanging="721"/>
        <w:jc w:val="both"/>
        <w:rPr>
          <w:rFonts w:ascii="David" w:hAnsi="David"/>
          <w:rtl/>
        </w:rPr>
      </w:pPr>
      <w:r>
        <w:rPr>
          <w:rFonts w:ascii="David" w:hAnsi="David"/>
          <w:rtl/>
        </w:rPr>
        <w:t>9.</w:t>
      </w:r>
      <w:r>
        <w:rPr>
          <w:rFonts w:ascii="David" w:hAnsi="David"/>
          <w:rtl/>
        </w:rPr>
        <w:tab/>
        <w:t xml:space="preserve">המשיבה בתגובתה מיום 16.2.2023, הודיעה כי היא מתנגדת בתוקף לחידוש הבקשה לסעד זמני.  לטענתה, המבקש אינו רשאי לעקוף את החלטת ביהמ"ש על דרך של ''הודעה על חידוש בקשה''.  לטענתה הסתמכה על הודעתו בדבר מחיקת הבקשה ולא חקרה את המבקש בדיון, והתנהלותו חסרת תום הלב של המבקש פוגעת בזכותה לניהול הליך הוגן. לטענתה אין בנימוקיו עילה לחידוש הבקשה/הענקת סעד זמני, והוא אישר כי לא עשה שימוש בנכס במשך שנים.  </w:t>
      </w:r>
    </w:p>
    <w:p w:rsidR="006F48E1" w:rsidRDefault="006F48E1" w:rsidP="00783014">
      <w:pPr>
        <w:spacing w:after="120" w:line="360" w:lineRule="auto"/>
        <w:ind w:left="720" w:hanging="721"/>
        <w:jc w:val="both"/>
        <w:rPr>
          <w:rFonts w:ascii="David" w:hAnsi="David"/>
        </w:rPr>
      </w:pPr>
      <w:r>
        <w:rPr>
          <w:rFonts w:ascii="David" w:hAnsi="David"/>
          <w:rtl/>
        </w:rPr>
        <w:t>10.</w:t>
      </w:r>
      <w:r>
        <w:rPr>
          <w:rFonts w:ascii="David" w:hAnsi="David"/>
          <w:rtl/>
        </w:rPr>
        <w:tab/>
        <w:t xml:space="preserve">בתשובתו מיום 20.2.2023, טען המבקש כי המשיבה מתעלמת מהסטאטוס קוו ששרר 8 שנים, ההתנהלות בין הצדדים בחודשים 6/22-11/22 עובר להגשת התביעה והסכמתה כי ייחתם הסכם שכירות ע"י שתי המשיבות, אך דמי השכירות ימשיכו להתקבל בידיו. </w:t>
      </w:r>
    </w:p>
    <w:p w:rsidR="006F48E1" w:rsidRDefault="006F48E1" w:rsidP="00783014">
      <w:pPr>
        <w:spacing w:after="120" w:line="360" w:lineRule="auto"/>
        <w:ind w:left="720" w:hanging="721"/>
        <w:jc w:val="both"/>
        <w:rPr>
          <w:rFonts w:ascii="David" w:hAnsi="David"/>
          <w:rtl/>
        </w:rPr>
      </w:pPr>
      <w:r>
        <w:rPr>
          <w:rFonts w:ascii="David" w:hAnsi="David"/>
          <w:rtl/>
        </w:rPr>
        <w:t>11.</w:t>
      </w:r>
      <w:r>
        <w:rPr>
          <w:rFonts w:ascii="David" w:hAnsi="David"/>
          <w:rtl/>
        </w:rPr>
        <w:tab/>
        <w:t xml:space="preserve">בתגובתה המשלימה מיום 26.2.2023, טענה המשיבה כי פינוי השוכרת אינו רלוונטי לסעד לו עתר המבקש, ולצדדים שניהם אינטרס כי דמי השכירות ישתלמו כסדרם. כן לטענתה, אין הצדקה להעניק למבקש את הסעד העיקרי לו עתר, במסגרת בקשה לסעד זמני. לטענתה, פינוי השוכרת הינו בבחינת אמצעי לחץ פסול, אינו בא בחשבון שכן "הסכמים יש לקיים", וכי המחלוקת בין הצדדים אינה מעניינה של השוכרת אשר זכותה להתגורר בנכס מכח הסכם השכירות. </w:t>
      </w:r>
    </w:p>
    <w:p w:rsidR="006F48E1" w:rsidRDefault="006F48E1" w:rsidP="00783014">
      <w:pPr>
        <w:spacing w:after="120" w:line="360" w:lineRule="auto"/>
        <w:ind w:left="720" w:hanging="721"/>
        <w:jc w:val="both"/>
        <w:rPr>
          <w:rFonts w:ascii="David" w:hAnsi="David"/>
          <w:rtl/>
        </w:rPr>
      </w:pPr>
      <w:r>
        <w:rPr>
          <w:rFonts w:ascii="David" w:hAnsi="David"/>
          <w:rtl/>
        </w:rPr>
        <w:t>12.</w:t>
      </w:r>
      <w:r>
        <w:rPr>
          <w:rFonts w:ascii="David" w:hAnsi="David"/>
          <w:rtl/>
        </w:rPr>
        <w:tab/>
        <w:t xml:space="preserve">בהודעה מיום 28.2.2023, המבקש טען כי אין הסכם שכירות בר תוקף וממילא משיבה 2 לא היתה צד לו, ובהיעדר הסכמתו והסכמת משיבה 2 – לא ניתן לחדשו. </w:t>
      </w:r>
    </w:p>
    <w:p w:rsidR="006F48E1" w:rsidRDefault="006F48E1" w:rsidP="00783014">
      <w:pPr>
        <w:spacing w:after="120" w:line="360" w:lineRule="auto"/>
        <w:ind w:left="720" w:hanging="721"/>
        <w:jc w:val="both"/>
        <w:rPr>
          <w:rFonts w:ascii="David" w:hAnsi="David"/>
          <w:rtl/>
        </w:rPr>
      </w:pPr>
      <w:r>
        <w:rPr>
          <w:rFonts w:ascii="David" w:hAnsi="David"/>
          <w:rtl/>
        </w:rPr>
        <w:t>13.</w:t>
      </w:r>
      <w:r>
        <w:rPr>
          <w:rFonts w:ascii="David" w:hAnsi="David"/>
          <w:rtl/>
        </w:rPr>
        <w:tab/>
        <w:t xml:space="preserve">בדיון נוסף, שהתקיים ביום 23.3.2023, עלה כי המשיבה חתמה לבדה על הסכם שכירות עם השוכרת ב- 12/2022, וכי היא מקבלת לידיה את דמי השכירות במלואם. כמו כן, נחקרו הצדדים. </w:t>
      </w:r>
    </w:p>
    <w:p w:rsidR="006F48E1" w:rsidRDefault="006F48E1" w:rsidP="00783014">
      <w:pPr>
        <w:spacing w:after="120" w:line="360" w:lineRule="auto"/>
        <w:ind w:left="720" w:hanging="721"/>
        <w:jc w:val="both"/>
        <w:rPr>
          <w:rFonts w:ascii="David" w:hAnsi="David"/>
          <w:b/>
          <w:bCs/>
          <w:rtl/>
        </w:rPr>
      </w:pPr>
      <w:r>
        <w:rPr>
          <w:rFonts w:ascii="David" w:hAnsi="David"/>
          <w:rtl/>
        </w:rPr>
        <w:lastRenderedPageBreak/>
        <w:t>14.</w:t>
      </w:r>
      <w:r>
        <w:rPr>
          <w:rFonts w:ascii="David" w:hAnsi="David"/>
          <w:rtl/>
        </w:rPr>
        <w:tab/>
        <w:t>בסיומו של הדיון, נתבקשו הצדדים להודיע תוך 7 ימים עמדתם להצעת בית המשפט קמא (פורטה בעמ' 12 לפרוטוקול קמא), ובתוך אותו מועד להגיש לתיק בית המשפט העתק הסכמי שכירות ואישורים על תשלומי דמי השכירות, התובע – לשנים 2020-2021 כולל, והנתבעת – לשנים 2022-2023.</w:t>
      </w:r>
      <w:r>
        <w:rPr>
          <w:rFonts w:ascii="David" w:hAnsi="David"/>
          <w:b/>
          <w:bCs/>
          <w:rtl/>
        </w:rPr>
        <w:t xml:space="preserve"> </w:t>
      </w:r>
    </w:p>
    <w:p w:rsidR="006F48E1" w:rsidRDefault="006F48E1" w:rsidP="00783014">
      <w:pPr>
        <w:spacing w:after="120" w:line="360" w:lineRule="auto"/>
        <w:ind w:left="720" w:hanging="721"/>
        <w:jc w:val="both"/>
        <w:rPr>
          <w:rFonts w:ascii="David" w:hAnsi="David"/>
          <w:rtl/>
        </w:rPr>
      </w:pPr>
      <w:r>
        <w:rPr>
          <w:rFonts w:ascii="David" w:hAnsi="David"/>
          <w:rtl/>
        </w:rPr>
        <w:t>15.</w:t>
      </w:r>
      <w:r>
        <w:rPr>
          <w:rFonts w:ascii="David" w:hAnsi="David"/>
          <w:b/>
          <w:bCs/>
          <w:rtl/>
        </w:rPr>
        <w:tab/>
      </w:r>
      <w:r>
        <w:rPr>
          <w:rFonts w:ascii="David" w:hAnsi="David"/>
          <w:rtl/>
        </w:rPr>
        <w:t xml:space="preserve">המשיבה הודיעה ביום 30.3.2023 על הסכמתה להצעה וכן צירפה עותק הסכם שכירות, שנחתם ביום 26.12.2022. </w:t>
      </w:r>
    </w:p>
    <w:p w:rsidR="006F48E1" w:rsidRDefault="006F48E1" w:rsidP="00783014">
      <w:pPr>
        <w:spacing w:after="120" w:line="360" w:lineRule="auto"/>
        <w:ind w:left="720" w:hanging="721"/>
        <w:jc w:val="both"/>
        <w:rPr>
          <w:rFonts w:ascii="David" w:hAnsi="David"/>
          <w:rtl/>
        </w:rPr>
      </w:pPr>
      <w:r>
        <w:rPr>
          <w:rFonts w:ascii="David" w:hAnsi="David"/>
          <w:rtl/>
        </w:rPr>
        <w:t>16.</w:t>
      </w:r>
      <w:r>
        <w:rPr>
          <w:rFonts w:ascii="David" w:hAnsi="David"/>
          <w:rtl/>
        </w:rPr>
        <w:tab/>
        <w:t>המבקש בעמדתו מיום 31.3.2023, הודיע כי הוא עומד על בקשתו למתן סעד זמני. לטענתו, המשיבה פעלה בדרך של הונאה והסתרה, עשיית דין עצמית ונטילת החוק לידיה, כאשר תוך קיומו של הליך משפטי, הסתירה מביהמ"ש קמא כי פעלה באופן חד צדדי וחתמה על הסכם שכירות בחודש 12/22, תוך שהיא משלשלת את דמי השכירות לכיסה.</w:t>
      </w:r>
    </w:p>
    <w:p w:rsidR="006F48E1" w:rsidRDefault="006F48E1" w:rsidP="00CB2466">
      <w:pPr>
        <w:spacing w:after="120" w:line="360" w:lineRule="auto"/>
        <w:ind w:left="720" w:hanging="721"/>
        <w:jc w:val="both"/>
        <w:rPr>
          <w:rFonts w:ascii="David" w:hAnsi="David"/>
          <w:rtl/>
        </w:rPr>
      </w:pPr>
      <w:r>
        <w:rPr>
          <w:rFonts w:ascii="David" w:hAnsi="David"/>
          <w:rtl/>
        </w:rPr>
        <w:t>17.</w:t>
      </w:r>
      <w:r>
        <w:rPr>
          <w:rFonts w:ascii="David" w:hAnsi="David"/>
          <w:rtl/>
        </w:rPr>
        <w:tab/>
        <w:t xml:space="preserve">עוד לטענתו, מעדות המשיבה עלה, כי מעולם לא היתה מחלוקת לעניין קבלת דמי שכירות לידיו מאז פטירת אמו המנוחה בשנת 2016 ו/או התנגדות כי יקבל לידיו את דמי השכירות, וטענותיה הכספיות של המשיבה כלפיו מסתכמות ב- 10,000 ₪ (חוב מלפני עשור לשיטתה). לתגובתו כאמור, צירף הסכמי השכירות לתקופות  1.12.18-30.10.21 ו-  1.1.22-31.12.22. </w:t>
      </w:r>
    </w:p>
    <w:p w:rsidR="006F48E1" w:rsidRDefault="006F48E1" w:rsidP="00783014">
      <w:pPr>
        <w:spacing w:after="120" w:line="360" w:lineRule="auto"/>
        <w:ind w:left="720" w:hanging="721"/>
        <w:jc w:val="both"/>
        <w:rPr>
          <w:rFonts w:ascii="David" w:hAnsi="David"/>
          <w:rtl/>
        </w:rPr>
      </w:pPr>
      <w:r>
        <w:rPr>
          <w:rFonts w:ascii="David" w:hAnsi="David"/>
          <w:rtl/>
        </w:rPr>
        <w:t>18.</w:t>
      </w:r>
      <w:r>
        <w:rPr>
          <w:rFonts w:ascii="David" w:hAnsi="David"/>
          <w:rtl/>
        </w:rPr>
        <w:tab/>
        <w:t>לטענת המשיבה בתגובתה, בסעד המבוקש יש כדי לפגוע זכויותיה בדירה, לרבות זכויותיה הכספיות. לטענתה, ביהמ"ש ייעתר לבקשה לסעד זמני כאשר התערבותו חיונית למנוע נזק שאינו ניתן לתיקון באמצעות פיצוי כספי הולם, ובמקרה דנן נזקיו של המבקש הינם כספיים גרידא ועל כן ברי פיצוי. לטענתה, הנזק שעלול להיגרם לה "</w:t>
      </w:r>
      <w:r>
        <w:rPr>
          <w:rFonts w:ascii="David" w:hAnsi="David"/>
          <w:b/>
          <w:bCs/>
          <w:rtl/>
        </w:rPr>
        <w:t>גבוה לאין שיעור מהנזק שעלול להיגרם למבקש, שכן הסעד הזמני עלול להגדיל את נזקיה של המשיבה לאלו שנגרמו לה כתוצאה מאי תשלום דמי השכירות המגיעים לה כדין</w:t>
      </w:r>
      <w:r>
        <w:rPr>
          <w:rFonts w:ascii="David" w:hAnsi="David"/>
          <w:rtl/>
        </w:rPr>
        <w:t xml:space="preserve">". ואף הוסיפה כי בהיותה בעלת נכסים וממון, המבקש יוכל להיפרע ממנה בקלות ככל שתתקבל תביעתו. </w:t>
      </w:r>
    </w:p>
    <w:p w:rsidR="006F48E1" w:rsidRDefault="006F48E1" w:rsidP="00783014">
      <w:pPr>
        <w:spacing w:after="120" w:line="360" w:lineRule="auto"/>
        <w:ind w:left="720" w:hanging="721"/>
        <w:jc w:val="both"/>
        <w:rPr>
          <w:rFonts w:ascii="David" w:hAnsi="David"/>
          <w:rtl/>
        </w:rPr>
      </w:pPr>
      <w:r>
        <w:rPr>
          <w:rFonts w:ascii="David" w:hAnsi="David"/>
          <w:rtl/>
        </w:rPr>
        <w:t>19.</w:t>
      </w:r>
      <w:r>
        <w:rPr>
          <w:rFonts w:ascii="David" w:hAnsi="David"/>
          <w:rtl/>
        </w:rPr>
        <w:tab/>
      </w:r>
      <w:r>
        <w:rPr>
          <w:rFonts w:ascii="David" w:hAnsi="David"/>
          <w:u w:val="single"/>
          <w:rtl/>
        </w:rPr>
        <w:t>בהחלטת בית המשפט קמא מיום 30.4.23, נושא רמ"ש זה, נכתב כדלקמן (ציטוט)</w:t>
      </w:r>
      <w:r>
        <w:rPr>
          <w:rFonts w:ascii="David" w:hAnsi="David"/>
          <w:rtl/>
        </w:rPr>
        <w:t>:</w:t>
      </w:r>
      <w:r>
        <w:rPr>
          <w:rFonts w:ascii="David" w:hAnsi="David"/>
          <w:rtl/>
        </w:rPr>
        <w:tab/>
      </w:r>
    </w:p>
    <w:p w:rsidR="006F48E1" w:rsidRDefault="006F48E1" w:rsidP="00783014">
      <w:pPr>
        <w:pStyle w:val="ad"/>
        <w:numPr>
          <w:ilvl w:val="0"/>
          <w:numId w:val="1"/>
        </w:numPr>
        <w:spacing w:after="120" w:line="360" w:lineRule="auto"/>
        <w:ind w:left="1077" w:right="737" w:hanging="369"/>
        <w:contextualSpacing w:val="0"/>
        <w:jc w:val="both"/>
        <w:rPr>
          <w:rFonts w:ascii="David" w:hAnsi="David"/>
          <w:b/>
          <w:bCs/>
          <w:sz w:val="22"/>
          <w:szCs w:val="22"/>
          <w:rtl/>
        </w:rPr>
      </w:pPr>
      <w:r>
        <w:rPr>
          <w:rFonts w:ascii="David" w:hAnsi="David"/>
          <w:b/>
          <w:bCs/>
          <w:sz w:val="22"/>
          <w:szCs w:val="22"/>
          <w:rtl/>
        </w:rPr>
        <w:t xml:space="preserve">יש ממש בטענת המבקש, לעניין התנהלותה של המשיבה 1, אשר לא הודיעה לבית המשפט ו/או לצד שכנגד אודות חתימתה על הסכם שכירות חדש ב- 12/22, אלא בחלוף למעלה מ- 3 חודשים, במהלכם הוגשו אינספור בקשות/ תגובות/תשובות ע"י הצדדים, התקיים דיון, ואף הוצעו ע"י ביהמ"ש הצעות לסיום/פשרה  – או אז, ורק במהלך דיון </w:t>
      </w:r>
      <w:r>
        <w:rPr>
          <w:rFonts w:ascii="David" w:hAnsi="David"/>
          <w:b/>
          <w:bCs/>
          <w:sz w:val="22"/>
          <w:szCs w:val="22"/>
          <w:u w:val="single"/>
          <w:rtl/>
        </w:rPr>
        <w:t>שני</w:t>
      </w:r>
      <w:r>
        <w:rPr>
          <w:rFonts w:ascii="David" w:hAnsi="David"/>
          <w:b/>
          <w:bCs/>
          <w:sz w:val="22"/>
          <w:szCs w:val="22"/>
          <w:rtl/>
        </w:rPr>
        <w:t xml:space="preserve"> שהתנהל בעניינם של הצדדים, "עדכנה" המשיבה 1 אודות חתימת ההסכם על ידה.  </w:t>
      </w:r>
    </w:p>
    <w:p w:rsidR="006F48E1" w:rsidRDefault="006F48E1" w:rsidP="00783014">
      <w:pPr>
        <w:pStyle w:val="ad"/>
        <w:spacing w:after="120" w:line="360" w:lineRule="auto"/>
        <w:ind w:left="1077" w:right="737"/>
        <w:contextualSpacing w:val="0"/>
        <w:jc w:val="both"/>
        <w:rPr>
          <w:rFonts w:ascii="David" w:hAnsi="David"/>
          <w:b/>
          <w:bCs/>
          <w:sz w:val="22"/>
          <w:szCs w:val="22"/>
          <w:rtl/>
        </w:rPr>
      </w:pPr>
      <w:r>
        <w:rPr>
          <w:rFonts w:ascii="David" w:hAnsi="David"/>
          <w:b/>
          <w:bCs/>
          <w:sz w:val="22"/>
          <w:szCs w:val="22"/>
          <w:rtl/>
        </w:rPr>
        <w:t xml:space="preserve">בהתנהלות זו יש לכאורה חוסר תום לב והיא אינה התנהלות ראויה של בעל דין בהליכים משפטיים. </w:t>
      </w:r>
    </w:p>
    <w:p w:rsidR="006F48E1" w:rsidRDefault="006F48E1" w:rsidP="00783014">
      <w:pPr>
        <w:pStyle w:val="ad"/>
        <w:spacing w:after="120" w:line="360" w:lineRule="auto"/>
        <w:ind w:left="708" w:right="737"/>
        <w:contextualSpacing w:val="0"/>
        <w:jc w:val="both"/>
        <w:rPr>
          <w:rFonts w:ascii="David" w:hAnsi="David"/>
          <w:b/>
          <w:bCs/>
          <w:sz w:val="22"/>
          <w:szCs w:val="22"/>
          <w:rtl/>
        </w:rPr>
      </w:pPr>
      <w:r>
        <w:rPr>
          <w:rFonts w:ascii="David" w:hAnsi="David"/>
          <w:b/>
          <w:bCs/>
          <w:sz w:val="22"/>
          <w:szCs w:val="22"/>
          <w:rtl/>
        </w:rPr>
        <w:t xml:space="preserve">14.  </w:t>
      </w:r>
      <w:r>
        <w:rPr>
          <w:rFonts w:ascii="David" w:hAnsi="David"/>
          <w:b/>
          <w:bCs/>
          <w:sz w:val="22"/>
          <w:szCs w:val="22"/>
          <w:u w:val="single"/>
          <w:rtl/>
        </w:rPr>
        <w:t>באשר לסעד לו עתר המבקש</w:t>
      </w:r>
      <w:r>
        <w:rPr>
          <w:rFonts w:ascii="David" w:hAnsi="David"/>
          <w:b/>
          <w:bCs/>
          <w:sz w:val="22"/>
          <w:szCs w:val="22"/>
          <w:rtl/>
        </w:rPr>
        <w:t xml:space="preserve">- </w:t>
      </w:r>
    </w:p>
    <w:p w:rsidR="006F48E1" w:rsidRDefault="006F48E1" w:rsidP="00CB2466">
      <w:pPr>
        <w:pStyle w:val="ad"/>
        <w:spacing w:after="120" w:line="360" w:lineRule="auto"/>
        <w:ind w:left="1077" w:right="737"/>
        <w:contextualSpacing w:val="0"/>
        <w:jc w:val="both"/>
        <w:rPr>
          <w:rFonts w:ascii="David" w:hAnsi="David"/>
          <w:b/>
          <w:bCs/>
          <w:sz w:val="22"/>
          <w:szCs w:val="22"/>
          <w:rtl/>
        </w:rPr>
      </w:pPr>
      <w:r>
        <w:rPr>
          <w:rFonts w:ascii="David" w:hAnsi="David"/>
          <w:b/>
          <w:bCs/>
          <w:sz w:val="22"/>
          <w:szCs w:val="22"/>
          <w:rtl/>
        </w:rPr>
        <w:t>ע"פ הוראות סעיף 4 ב' לצוואה : "</w:t>
      </w:r>
      <w:r>
        <w:rPr>
          <w:rFonts w:ascii="David" w:hAnsi="David"/>
          <w:b/>
          <w:bCs/>
          <w:i/>
          <w:iCs/>
          <w:sz w:val="22"/>
          <w:szCs w:val="22"/>
          <w:rtl/>
        </w:rPr>
        <w:t>הנני מורה ליו</w:t>
      </w:r>
      <w:r w:rsidR="00CB2466">
        <w:rPr>
          <w:rFonts w:ascii="David" w:hAnsi="David"/>
          <w:b/>
          <w:bCs/>
          <w:i/>
          <w:iCs/>
          <w:sz w:val="22"/>
          <w:szCs w:val="22"/>
          <w:rtl/>
        </w:rPr>
        <w:t>רשיי על פי שטר הצוואה (</w:t>
      </w:r>
      <w:r w:rsidR="00CB2466">
        <w:rPr>
          <w:rFonts w:ascii="David" w:hAnsi="David" w:hint="cs"/>
          <w:b/>
          <w:bCs/>
          <w:i/>
          <w:iCs/>
          <w:sz w:val="22"/>
          <w:szCs w:val="22"/>
          <w:rtl/>
        </w:rPr>
        <w:t>ד.ע.ס</w:t>
      </w:r>
      <w:r>
        <w:rPr>
          <w:rFonts w:ascii="David" w:hAnsi="David"/>
          <w:b/>
          <w:bCs/>
          <w:i/>
          <w:iCs/>
          <w:sz w:val="22"/>
          <w:szCs w:val="22"/>
          <w:rtl/>
        </w:rPr>
        <w:t xml:space="preserve"> ו</w:t>
      </w:r>
      <w:r w:rsidR="00CB2466">
        <w:rPr>
          <w:rFonts w:ascii="David" w:hAnsi="David" w:hint="cs"/>
          <w:b/>
          <w:bCs/>
          <w:i/>
          <w:iCs/>
          <w:sz w:val="22"/>
          <w:szCs w:val="22"/>
          <w:rtl/>
        </w:rPr>
        <w:t>-א. ו</w:t>
      </w:r>
      <w:r w:rsidR="00CB2466">
        <w:rPr>
          <w:rFonts w:ascii="David" w:hAnsi="David"/>
          <w:b/>
          <w:bCs/>
          <w:i/>
          <w:iCs/>
          <w:sz w:val="22"/>
          <w:szCs w:val="22"/>
          <w:rtl/>
        </w:rPr>
        <w:t>) לאפשר ל</w:t>
      </w:r>
      <w:r w:rsidR="00CB2466">
        <w:rPr>
          <w:rFonts w:ascii="David" w:hAnsi="David" w:hint="cs"/>
          <w:b/>
          <w:bCs/>
          <w:i/>
          <w:iCs/>
          <w:sz w:val="22"/>
          <w:szCs w:val="22"/>
          <w:rtl/>
        </w:rPr>
        <w:t xml:space="preserve">מ. ע </w:t>
      </w:r>
      <w:r>
        <w:rPr>
          <w:rFonts w:ascii="David" w:hAnsi="David"/>
          <w:b/>
          <w:bCs/>
          <w:i/>
          <w:iCs/>
          <w:sz w:val="22"/>
          <w:szCs w:val="22"/>
          <w:rtl/>
        </w:rPr>
        <w:t>(בני) להתגורר בדירה ללא תמו</w:t>
      </w:r>
      <w:r w:rsidR="00CB2466">
        <w:rPr>
          <w:rFonts w:ascii="David" w:hAnsi="David"/>
          <w:b/>
          <w:bCs/>
          <w:i/>
          <w:iCs/>
          <w:sz w:val="22"/>
          <w:szCs w:val="22"/>
          <w:rtl/>
        </w:rPr>
        <w:t xml:space="preserve">רה ברח' </w:t>
      </w:r>
      <w:r w:rsidR="00CB2466">
        <w:rPr>
          <w:rFonts w:ascii="David" w:hAnsi="David" w:hint="cs"/>
          <w:b/>
          <w:bCs/>
          <w:i/>
          <w:iCs/>
          <w:sz w:val="22"/>
          <w:szCs w:val="22"/>
          <w:rtl/>
        </w:rPr>
        <w:t xml:space="preserve">... </w:t>
      </w:r>
      <w:r>
        <w:rPr>
          <w:rFonts w:ascii="David" w:hAnsi="David"/>
          <w:b/>
          <w:bCs/>
          <w:i/>
          <w:iCs/>
          <w:sz w:val="22"/>
          <w:szCs w:val="22"/>
          <w:rtl/>
        </w:rPr>
        <w:t xml:space="preserve"> עד יום מותו אחרי  120".</w:t>
      </w:r>
    </w:p>
    <w:p w:rsidR="006F48E1" w:rsidRDefault="006F48E1" w:rsidP="00783014">
      <w:pPr>
        <w:pStyle w:val="ad"/>
        <w:spacing w:after="120" w:line="360" w:lineRule="auto"/>
        <w:ind w:left="1077" w:right="737"/>
        <w:contextualSpacing w:val="0"/>
        <w:jc w:val="both"/>
        <w:rPr>
          <w:rFonts w:ascii="David" w:hAnsi="David"/>
          <w:b/>
          <w:bCs/>
          <w:sz w:val="22"/>
          <w:szCs w:val="22"/>
          <w:rtl/>
        </w:rPr>
      </w:pPr>
      <w:r>
        <w:rPr>
          <w:rFonts w:ascii="David" w:hAnsi="David"/>
          <w:b/>
          <w:bCs/>
          <w:sz w:val="22"/>
          <w:szCs w:val="22"/>
          <w:rtl/>
        </w:rPr>
        <w:lastRenderedPageBreak/>
        <w:t xml:space="preserve">אין חולק, כי בהתאם לצוואות הוריו המנוחים, למבקש זכות מגורים בדירה, אך אין לו זכות קניינית בה. טענתו לפיה הוא רשאי להמיר את זכות המגורים בזכות לקבל אליו את דמ"ש בגינה– דורשת הוכחה, וטרם הוכרעה. על כן, לא מצאתי כי יש ליתן צו המתיר לו , ולו בלבד, לחתום על הסכמי שכירות עתידיים ביחס לדירה. </w:t>
      </w:r>
    </w:p>
    <w:p w:rsidR="006F48E1" w:rsidRDefault="006F48E1" w:rsidP="00783014">
      <w:pPr>
        <w:pStyle w:val="ad"/>
        <w:spacing w:after="120" w:line="360" w:lineRule="auto"/>
        <w:ind w:left="1077" w:right="737"/>
        <w:contextualSpacing w:val="0"/>
        <w:jc w:val="both"/>
        <w:rPr>
          <w:rFonts w:ascii="David" w:hAnsi="David"/>
          <w:b/>
          <w:bCs/>
          <w:sz w:val="22"/>
          <w:szCs w:val="22"/>
          <w:rtl/>
        </w:rPr>
      </w:pPr>
      <w:r>
        <w:rPr>
          <w:rFonts w:ascii="David" w:hAnsi="David"/>
          <w:b/>
          <w:bCs/>
          <w:sz w:val="22"/>
          <w:szCs w:val="22"/>
          <w:rtl/>
        </w:rPr>
        <w:t xml:space="preserve">כן לא מצאתי, כי יש להורות בשלב זה, על העברת מלוא דמי השכירות המתקבלים עבור הדירה, לידי המבקש. </w:t>
      </w:r>
    </w:p>
    <w:p w:rsidR="006F48E1" w:rsidRDefault="006F48E1" w:rsidP="00783014">
      <w:pPr>
        <w:pStyle w:val="ad"/>
        <w:spacing w:after="120" w:line="360" w:lineRule="auto"/>
        <w:ind w:left="1077" w:right="737"/>
        <w:contextualSpacing w:val="0"/>
        <w:jc w:val="both"/>
        <w:rPr>
          <w:rFonts w:ascii="David" w:hAnsi="David"/>
          <w:b/>
          <w:bCs/>
          <w:sz w:val="22"/>
          <w:szCs w:val="22"/>
        </w:rPr>
      </w:pPr>
      <w:r>
        <w:rPr>
          <w:rFonts w:ascii="David" w:hAnsi="David"/>
          <w:b/>
          <w:bCs/>
          <w:sz w:val="22"/>
          <w:szCs w:val="22"/>
          <w:rtl/>
        </w:rPr>
        <w:t xml:space="preserve">ואולם, לא ניתן לשלול מהמבקש את הזכות לשוב ולהתגורר בדירה, ככל שהוא חפץ בכך. כאשר לעניין זה, זכות המגורים של המבקש בדירה, גוברת על זכותה של המשיבה 1 לקבלת דמי שכירות. </w:t>
      </w:r>
    </w:p>
    <w:p w:rsid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tl/>
        </w:rPr>
      </w:pPr>
      <w:r>
        <w:rPr>
          <w:rFonts w:ascii="David" w:hAnsi="David"/>
          <w:b/>
          <w:bCs/>
          <w:sz w:val="22"/>
          <w:szCs w:val="22"/>
          <w:rtl/>
        </w:rPr>
        <w:t xml:space="preserve">בהינתן כי בבעלות המשיבה 1 מחצית מהזכויות בדירה בלבד (כאשר המחצית השניה בבעלות המשיבה 2) – המשיבה 1 אינה יכולה להמשיך ולהחזיק בידיה את דמי השכירות המתקבלים בגין הדירה, גם אם לטענתה הם מופקדים "בנאמנות" בא כוחה. </w:t>
      </w:r>
    </w:p>
    <w:p w:rsidR="006F48E1" w:rsidRPr="006F48E1" w:rsidRDefault="006F48E1" w:rsidP="00783014">
      <w:pPr>
        <w:spacing w:after="120" w:line="360" w:lineRule="auto"/>
        <w:ind w:left="1077" w:right="737"/>
        <w:jc w:val="both"/>
        <w:rPr>
          <w:rFonts w:ascii="David" w:hAnsi="David"/>
          <w:b/>
          <w:bCs/>
          <w:sz w:val="22"/>
          <w:szCs w:val="22"/>
        </w:rPr>
      </w:pPr>
      <w:r w:rsidRPr="006F48E1">
        <w:rPr>
          <w:rFonts w:ascii="David" w:hAnsi="David"/>
          <w:b/>
          <w:bCs/>
          <w:sz w:val="22"/>
          <w:szCs w:val="22"/>
          <w:rtl/>
        </w:rPr>
        <w:t xml:space="preserve">כך גם לא יכולה להישמע טענתה כי הכספים מוחזקים בידיה נוכח טענותיה הכספיות כלפיה המבקש – אלו , ככל שקיימות, צריכות להתברר בהליך נפרד מטעמה. </w:t>
      </w:r>
    </w:p>
    <w:p w:rsid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tl/>
        </w:rPr>
      </w:pPr>
      <w:r>
        <w:rPr>
          <w:rFonts w:ascii="David" w:hAnsi="David"/>
          <w:b/>
          <w:bCs/>
          <w:sz w:val="22"/>
          <w:szCs w:val="22"/>
          <w:rtl/>
        </w:rPr>
        <w:t xml:space="preserve">כמו כן, לא מצאתי בשלב זה, לקבל את טענת המשיבה 1, לפיה זכות המגורים של המבקש מוגבלת לחלק מהדירה (ר' סע' 19-20 לכתב ההגנה, כמו גם הערת ב"כ המשיבה 1 בדיון כי היא רשאית להכניס שוכר נוסף למגורים בדירה)  - גם טענה זו דורשת הוכחה (ולכאורה בשלב זה לא מצאתי עיגון לה בלשון הצוואה). </w:t>
      </w:r>
      <w:r>
        <w:rPr>
          <w:rFonts w:ascii="David" w:hAnsi="David"/>
          <w:b/>
          <w:bCs/>
          <w:sz w:val="22"/>
          <w:szCs w:val="22"/>
          <w:highlight w:val="yellow"/>
          <w:rtl/>
        </w:rPr>
        <w:t xml:space="preserve"> </w:t>
      </w:r>
    </w:p>
    <w:p w:rsid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tl/>
        </w:rPr>
      </w:pPr>
      <w:r>
        <w:rPr>
          <w:rFonts w:ascii="David" w:hAnsi="David"/>
          <w:b/>
          <w:bCs/>
          <w:sz w:val="22"/>
          <w:szCs w:val="22"/>
          <w:rtl/>
        </w:rPr>
        <w:t>אעיר, כי לא מצאתי בטענות המשיבה 1, כי הנזק שייגרם לה העולה על נזקו של המבקש – בהיעדר הליך כלשהו מטעמה, כמו גם טענתה כי הינה בעלת נכסים וממון- כענייניות להליך זה.</w:t>
      </w:r>
    </w:p>
    <w:p w:rsid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Pr>
      </w:pPr>
      <w:r>
        <w:rPr>
          <w:rFonts w:ascii="David" w:hAnsi="David"/>
          <w:b/>
          <w:bCs/>
          <w:sz w:val="22"/>
          <w:szCs w:val="22"/>
          <w:rtl/>
        </w:rPr>
        <w:t xml:space="preserve">לאחר ששקלתי את טענות הצדדים, אני מורה כדלקמן: </w:t>
      </w:r>
    </w:p>
    <w:p w:rsidR="006F48E1" w:rsidRDefault="006F48E1" w:rsidP="00783014">
      <w:pPr>
        <w:pStyle w:val="ad"/>
        <w:numPr>
          <w:ilvl w:val="0"/>
          <w:numId w:val="2"/>
        </w:numPr>
        <w:spacing w:after="120" w:line="360" w:lineRule="auto"/>
        <w:ind w:left="1474" w:right="737"/>
        <w:contextualSpacing w:val="0"/>
        <w:jc w:val="both"/>
        <w:rPr>
          <w:rFonts w:ascii="David" w:hAnsi="David"/>
          <w:b/>
          <w:bCs/>
          <w:sz w:val="22"/>
          <w:szCs w:val="22"/>
          <w:rtl/>
        </w:rPr>
      </w:pPr>
      <w:r>
        <w:rPr>
          <w:rFonts w:ascii="David" w:hAnsi="David"/>
          <w:b/>
          <w:bCs/>
          <w:sz w:val="22"/>
          <w:szCs w:val="22"/>
          <w:rtl/>
        </w:rPr>
        <w:t xml:space="preserve">על המשיבה 1 להעביר </w:t>
      </w:r>
      <w:r>
        <w:rPr>
          <w:rFonts w:ascii="David" w:hAnsi="David"/>
          <w:b/>
          <w:bCs/>
          <w:sz w:val="22"/>
          <w:szCs w:val="22"/>
          <w:u w:val="single"/>
          <w:rtl/>
        </w:rPr>
        <w:t>מחצית</w:t>
      </w:r>
      <w:r>
        <w:rPr>
          <w:rFonts w:ascii="David" w:hAnsi="David"/>
          <w:b/>
          <w:bCs/>
          <w:sz w:val="22"/>
          <w:szCs w:val="22"/>
          <w:rtl/>
        </w:rPr>
        <w:t xml:space="preserve"> מדמי השכירות שהתקבלו בגין חודשים 12/2022 ועד 4/2023 לידי המשיבה 2 (קרי. 7075 ₪ ) וזאת תוך 7 ימים מהיום. </w:t>
      </w:r>
    </w:p>
    <w:p w:rsidR="006F48E1" w:rsidRDefault="006F48E1" w:rsidP="00783014">
      <w:pPr>
        <w:pStyle w:val="ad"/>
        <w:spacing w:after="120" w:line="360" w:lineRule="auto"/>
        <w:ind w:left="1474" w:right="737"/>
        <w:contextualSpacing w:val="0"/>
        <w:jc w:val="both"/>
        <w:rPr>
          <w:rFonts w:ascii="David" w:hAnsi="David"/>
          <w:b/>
          <w:bCs/>
          <w:sz w:val="22"/>
          <w:szCs w:val="22"/>
        </w:rPr>
      </w:pPr>
      <w:r>
        <w:rPr>
          <w:rFonts w:ascii="David" w:hAnsi="David"/>
          <w:b/>
          <w:bCs/>
          <w:sz w:val="22"/>
          <w:szCs w:val="22"/>
          <w:rtl/>
        </w:rPr>
        <w:t xml:space="preserve">המחצית השניה – תיוותר </w:t>
      </w:r>
      <w:r>
        <w:rPr>
          <w:rFonts w:ascii="David" w:hAnsi="David"/>
          <w:b/>
          <w:bCs/>
          <w:sz w:val="22"/>
          <w:szCs w:val="22"/>
          <w:u w:val="single"/>
          <w:rtl/>
        </w:rPr>
        <w:t>בנאמנות</w:t>
      </w:r>
      <w:r>
        <w:rPr>
          <w:rFonts w:ascii="David" w:hAnsi="David"/>
          <w:b/>
          <w:bCs/>
          <w:sz w:val="22"/>
          <w:szCs w:val="22"/>
          <w:rtl/>
        </w:rPr>
        <w:t xml:space="preserve"> ב"כ המשיבה 1. </w:t>
      </w:r>
    </w:p>
    <w:p w:rsidR="006F48E1" w:rsidRDefault="006F48E1" w:rsidP="00783014">
      <w:pPr>
        <w:pStyle w:val="ad"/>
        <w:numPr>
          <w:ilvl w:val="0"/>
          <w:numId w:val="2"/>
        </w:numPr>
        <w:spacing w:after="120" w:line="360" w:lineRule="auto"/>
        <w:ind w:left="1474" w:right="737"/>
        <w:contextualSpacing w:val="0"/>
        <w:jc w:val="both"/>
        <w:rPr>
          <w:rFonts w:ascii="David" w:hAnsi="David"/>
          <w:b/>
          <w:bCs/>
          <w:sz w:val="22"/>
          <w:szCs w:val="22"/>
          <w:rtl/>
        </w:rPr>
      </w:pPr>
      <w:r>
        <w:rPr>
          <w:rFonts w:ascii="David" w:hAnsi="David"/>
          <w:b/>
          <w:bCs/>
          <w:sz w:val="22"/>
          <w:szCs w:val="22"/>
          <w:rtl/>
        </w:rPr>
        <w:t xml:space="preserve">המבקש יודיע תוך 7 ימים, האם ברצונו לשוב ולהתגורר בדירה. </w:t>
      </w:r>
    </w:p>
    <w:p w:rsidR="006F48E1" w:rsidRPr="006F48E1" w:rsidRDefault="006F48E1" w:rsidP="00783014">
      <w:pPr>
        <w:pStyle w:val="ad"/>
        <w:numPr>
          <w:ilvl w:val="0"/>
          <w:numId w:val="2"/>
        </w:numPr>
        <w:spacing w:after="120" w:line="360" w:lineRule="auto"/>
        <w:ind w:left="1474" w:right="737"/>
        <w:contextualSpacing w:val="0"/>
        <w:jc w:val="both"/>
        <w:rPr>
          <w:rFonts w:ascii="David" w:hAnsi="David"/>
          <w:b/>
          <w:bCs/>
          <w:sz w:val="22"/>
          <w:szCs w:val="22"/>
        </w:rPr>
      </w:pPr>
      <w:r>
        <w:rPr>
          <w:rFonts w:ascii="David" w:hAnsi="David"/>
          <w:b/>
          <w:bCs/>
          <w:sz w:val="22"/>
          <w:szCs w:val="22"/>
          <w:rtl/>
        </w:rPr>
        <w:t xml:space="preserve">ככל שהמבקש מעוניין להתגורר בדירה – תודיע המשיבה 1 לשוכרת כי עליה לפנות את </w:t>
      </w:r>
      <w:r w:rsidRPr="006F48E1">
        <w:rPr>
          <w:rFonts w:ascii="David" w:hAnsi="David"/>
          <w:b/>
          <w:bCs/>
          <w:sz w:val="22"/>
          <w:szCs w:val="22"/>
          <w:rtl/>
        </w:rPr>
        <w:t xml:space="preserve">הנכס עד לא יאוחר מיום 30.5.2023. </w:t>
      </w:r>
    </w:p>
    <w:p w:rsidR="006F48E1" w:rsidRPr="006F48E1" w:rsidRDefault="006F48E1" w:rsidP="00783014">
      <w:pPr>
        <w:spacing w:after="120" w:line="360" w:lineRule="auto"/>
        <w:ind w:left="1474" w:right="737"/>
        <w:jc w:val="both"/>
        <w:rPr>
          <w:rFonts w:ascii="David" w:hAnsi="David"/>
          <w:b/>
          <w:bCs/>
          <w:sz w:val="22"/>
          <w:szCs w:val="22"/>
        </w:rPr>
      </w:pPr>
      <w:r w:rsidRPr="006F48E1">
        <w:rPr>
          <w:rFonts w:ascii="David" w:hAnsi="David"/>
          <w:b/>
          <w:bCs/>
          <w:sz w:val="22"/>
          <w:szCs w:val="22"/>
          <w:rtl/>
        </w:rPr>
        <w:t xml:space="preserve">המשיבה 1 תעביר מחצית מדמי השכירות עבור חודש 5/2023 (מחצית מהסכום היחסי שלהם ככל שהשוכרת תעזוב לפני תום המועד) - לידי המשיבה 2.  </w:t>
      </w:r>
    </w:p>
    <w:p w:rsidR="006F48E1" w:rsidRPr="006F48E1" w:rsidRDefault="006F48E1" w:rsidP="00783014">
      <w:pPr>
        <w:spacing w:after="120" w:line="360" w:lineRule="auto"/>
        <w:ind w:left="1474" w:right="737"/>
        <w:jc w:val="both"/>
        <w:rPr>
          <w:rFonts w:ascii="David" w:hAnsi="David"/>
          <w:b/>
          <w:bCs/>
          <w:sz w:val="22"/>
          <w:szCs w:val="22"/>
          <w:rtl/>
        </w:rPr>
      </w:pPr>
      <w:r w:rsidRPr="006F48E1">
        <w:rPr>
          <w:rFonts w:ascii="David" w:hAnsi="David"/>
          <w:b/>
          <w:bCs/>
          <w:sz w:val="22"/>
          <w:szCs w:val="22"/>
          <w:rtl/>
        </w:rPr>
        <w:t xml:space="preserve">המחצית הנותרת תיוותר בנאמנות ב"כ המשיבה 1. </w:t>
      </w:r>
    </w:p>
    <w:p w:rsidR="006F48E1" w:rsidRPr="006F48E1" w:rsidRDefault="006F48E1" w:rsidP="00783014">
      <w:pPr>
        <w:pStyle w:val="ad"/>
        <w:numPr>
          <w:ilvl w:val="0"/>
          <w:numId w:val="2"/>
        </w:numPr>
        <w:spacing w:after="120" w:line="360" w:lineRule="auto"/>
        <w:ind w:left="1474" w:right="737"/>
        <w:contextualSpacing w:val="0"/>
        <w:jc w:val="both"/>
        <w:rPr>
          <w:rFonts w:ascii="David" w:hAnsi="David"/>
          <w:b/>
          <w:bCs/>
          <w:sz w:val="22"/>
          <w:szCs w:val="22"/>
          <w:rtl/>
        </w:rPr>
      </w:pPr>
      <w:r w:rsidRPr="006F48E1">
        <w:rPr>
          <w:rFonts w:ascii="David" w:hAnsi="David"/>
          <w:b/>
          <w:bCs/>
          <w:sz w:val="22"/>
          <w:szCs w:val="22"/>
          <w:rtl/>
        </w:rPr>
        <w:lastRenderedPageBreak/>
        <w:t xml:space="preserve">ככל שהמבקש </w:t>
      </w:r>
      <w:r w:rsidRPr="006F48E1">
        <w:rPr>
          <w:rFonts w:ascii="David" w:hAnsi="David"/>
          <w:b/>
          <w:bCs/>
          <w:sz w:val="22"/>
          <w:szCs w:val="22"/>
          <w:u w:val="single"/>
          <w:rtl/>
        </w:rPr>
        <w:t>אינו</w:t>
      </w:r>
      <w:r w:rsidRPr="006F48E1">
        <w:rPr>
          <w:rFonts w:ascii="David" w:hAnsi="David"/>
          <w:b/>
          <w:bCs/>
          <w:sz w:val="22"/>
          <w:szCs w:val="22"/>
          <w:rtl/>
        </w:rPr>
        <w:t xml:space="preserve"> מעוניין לשוב להתגורר בדירה – תעביר המשיבה 1 למשיבה 2 מחצית מדמי השכירות שיתקבלו מחודש 5/2023 ואילך.</w:t>
      </w:r>
    </w:p>
    <w:p w:rsidR="006F48E1" w:rsidRPr="006F48E1" w:rsidRDefault="006F48E1" w:rsidP="00783014">
      <w:pPr>
        <w:pStyle w:val="ad"/>
        <w:numPr>
          <w:ilvl w:val="0"/>
          <w:numId w:val="2"/>
        </w:numPr>
        <w:spacing w:after="120" w:line="360" w:lineRule="auto"/>
        <w:ind w:left="1474" w:right="737"/>
        <w:contextualSpacing w:val="0"/>
        <w:jc w:val="both"/>
        <w:rPr>
          <w:rFonts w:ascii="David" w:hAnsi="David"/>
          <w:b/>
          <w:bCs/>
          <w:sz w:val="22"/>
          <w:szCs w:val="22"/>
        </w:rPr>
      </w:pPr>
      <w:r w:rsidRPr="006F48E1">
        <w:rPr>
          <w:rFonts w:ascii="David" w:hAnsi="David"/>
          <w:b/>
          <w:bCs/>
          <w:sz w:val="22"/>
          <w:szCs w:val="22"/>
          <w:rtl/>
        </w:rPr>
        <w:t xml:space="preserve">מובהר לצדדים, כי כל עוד מתנהלים הליכים משפטיים – נאסר על מי מהם לחתום/לחדש הסכם שכירות ביחס לדירה, ללא הסכמה מראש או אישור בית המשפט. </w:t>
      </w:r>
    </w:p>
    <w:p w:rsidR="006F48E1" w:rsidRP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tl/>
        </w:rPr>
      </w:pPr>
      <w:r w:rsidRPr="006F48E1">
        <w:rPr>
          <w:rFonts w:ascii="David" w:hAnsi="David"/>
          <w:b/>
          <w:bCs/>
          <w:sz w:val="22"/>
          <w:szCs w:val="22"/>
          <w:rtl/>
        </w:rPr>
        <w:t>מובהר למבקש, כי ככל שיודיע על רצונו לשוב ולהתגורר בדירה – אך לא יתגורר בה בפועל, יידרש לפצות את המשיבה 1 אודות דמי השכירות שהפסידה, בגובה דמי השכירות בהסכם האחרון.</w:t>
      </w:r>
    </w:p>
    <w:p w:rsidR="006F48E1" w:rsidRP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Pr>
      </w:pPr>
      <w:r w:rsidRPr="006F48E1">
        <w:rPr>
          <w:rFonts w:ascii="David" w:hAnsi="David"/>
          <w:b/>
          <w:bCs/>
          <w:sz w:val="22"/>
          <w:szCs w:val="22"/>
          <w:rtl/>
        </w:rPr>
        <w:t xml:space="preserve">בשלב זה, הגם המפורט לעיל, איני עושה צו להוצאות. יחד עם זאת, התנהלות הצדדים תשקל עת מתן פסה"ד.  </w:t>
      </w:r>
    </w:p>
    <w:p w:rsidR="006F48E1" w:rsidRP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tl/>
        </w:rPr>
      </w:pPr>
      <w:r w:rsidRPr="006F48E1">
        <w:rPr>
          <w:rFonts w:ascii="David" w:hAnsi="David"/>
          <w:b/>
          <w:bCs/>
          <w:sz w:val="22"/>
          <w:szCs w:val="22"/>
          <w:rtl/>
        </w:rPr>
        <w:t xml:space="preserve">למען הסדר הטוב יובהר, כי אין בהחלטתי זו משום הכרעה באשר לתוצאות ההליך ו/או סיכויי מי מהצדדים, אלא הכרעה בבקשה המונחת בפניי. </w:t>
      </w:r>
    </w:p>
    <w:p w:rsidR="006F48E1" w:rsidRPr="006F48E1" w:rsidRDefault="006F48E1" w:rsidP="00783014">
      <w:pPr>
        <w:pStyle w:val="ad"/>
        <w:numPr>
          <w:ilvl w:val="0"/>
          <w:numId w:val="1"/>
        </w:numPr>
        <w:spacing w:after="120" w:line="360" w:lineRule="auto"/>
        <w:ind w:left="1077" w:right="737" w:hanging="348"/>
        <w:contextualSpacing w:val="0"/>
        <w:jc w:val="both"/>
        <w:rPr>
          <w:rFonts w:ascii="David" w:hAnsi="David"/>
          <w:b/>
          <w:bCs/>
          <w:sz w:val="22"/>
          <w:szCs w:val="22"/>
          <w:rtl/>
        </w:rPr>
      </w:pPr>
      <w:r w:rsidRPr="006F48E1">
        <w:rPr>
          <w:rFonts w:ascii="David" w:hAnsi="David"/>
          <w:b/>
          <w:bCs/>
          <w:sz w:val="22"/>
          <w:szCs w:val="22"/>
          <w:u w:val="single"/>
          <w:rtl/>
        </w:rPr>
        <w:t xml:space="preserve">דיון קד"מ נוסף (טרם קביעה להליך שמיעה/הוכחות) נקבע ליום 3.7.23 שעה 9:00. </w:t>
      </w:r>
    </w:p>
    <w:p w:rsidR="006F48E1" w:rsidRPr="006F48E1" w:rsidRDefault="006F48E1" w:rsidP="00783014">
      <w:pPr>
        <w:pStyle w:val="ad"/>
        <w:spacing w:after="120" w:line="360" w:lineRule="auto"/>
        <w:ind w:left="1077" w:right="737"/>
        <w:contextualSpacing w:val="0"/>
        <w:jc w:val="both"/>
        <w:rPr>
          <w:rFonts w:ascii="David" w:hAnsi="David"/>
          <w:b/>
          <w:bCs/>
          <w:sz w:val="22"/>
          <w:szCs w:val="22"/>
          <w:rtl/>
        </w:rPr>
      </w:pPr>
      <w:r w:rsidRPr="006F48E1">
        <w:rPr>
          <w:rFonts w:ascii="David" w:hAnsi="David"/>
          <w:b/>
          <w:bCs/>
          <w:sz w:val="22"/>
          <w:szCs w:val="22"/>
          <w:rtl/>
        </w:rPr>
        <w:t xml:space="preserve">עד לדיון שיתקיים כאמור, מוצע לצדדים לפנות להליך גישור (בין אם במסגרת הליך מהו"ת, או מגשר שיוסכם ביניהם,  או מגשר שימונה ע"י ביהמ"ש). </w:t>
      </w:r>
    </w:p>
    <w:p w:rsidR="006F48E1" w:rsidRDefault="006F48E1" w:rsidP="00783014">
      <w:pPr>
        <w:spacing w:after="120" w:line="360" w:lineRule="auto"/>
        <w:jc w:val="both"/>
        <w:rPr>
          <w:rFonts w:ascii="David" w:hAnsi="David"/>
          <w:rtl/>
        </w:rPr>
      </w:pPr>
    </w:p>
    <w:p w:rsidR="006F48E1" w:rsidRDefault="006F48E1" w:rsidP="00783014">
      <w:pPr>
        <w:spacing w:after="120" w:line="360" w:lineRule="auto"/>
        <w:jc w:val="both"/>
        <w:rPr>
          <w:rFonts w:ascii="David" w:hAnsi="David"/>
          <w:b/>
          <w:bCs/>
          <w:u w:val="single"/>
          <w:rtl/>
        </w:rPr>
      </w:pPr>
      <w:r>
        <w:rPr>
          <w:rFonts w:ascii="David" w:hAnsi="David"/>
          <w:b/>
          <w:bCs/>
          <w:u w:val="single"/>
          <w:rtl/>
        </w:rPr>
        <w:t>טענות המבקש בבקשת רשות הערעור</w:t>
      </w:r>
    </w:p>
    <w:p w:rsidR="006F48E1" w:rsidRDefault="006F48E1" w:rsidP="00783014">
      <w:pPr>
        <w:spacing w:after="120" w:line="360" w:lineRule="auto"/>
        <w:jc w:val="both"/>
        <w:rPr>
          <w:rFonts w:ascii="David" w:hAnsi="David"/>
          <w:rtl/>
        </w:rPr>
      </w:pPr>
      <w:r>
        <w:rPr>
          <w:rFonts w:ascii="David" w:hAnsi="David"/>
          <w:rtl/>
        </w:rPr>
        <w:t>20.</w:t>
      </w:r>
      <w:r>
        <w:rPr>
          <w:rFonts w:ascii="David" w:hAnsi="David"/>
          <w:rtl/>
        </w:rPr>
        <w:tab/>
      </w:r>
      <w:r>
        <w:rPr>
          <w:rFonts w:ascii="David" w:hAnsi="David"/>
          <w:u w:val="single"/>
          <w:rtl/>
        </w:rPr>
        <w:t>להלן תמצית טענות המבקש בבקשת רשות הערעור</w:t>
      </w:r>
      <w:r>
        <w:rPr>
          <w:rFonts w:ascii="David" w:hAnsi="David"/>
          <w:rtl/>
        </w:rPr>
        <w:t>:</w:t>
      </w:r>
    </w:p>
    <w:p w:rsidR="006F48E1" w:rsidRDefault="006F48E1" w:rsidP="00783014">
      <w:pPr>
        <w:spacing w:after="120" w:line="360" w:lineRule="auto"/>
        <w:jc w:val="both"/>
        <w:rPr>
          <w:rFonts w:ascii="David" w:hAnsi="David"/>
          <w:rtl/>
        </w:rPr>
      </w:pPr>
      <w:r>
        <w:rPr>
          <w:rFonts w:ascii="David" w:hAnsi="David"/>
          <w:rtl/>
        </w:rPr>
        <w:tab/>
        <w:t>א.</w:t>
      </w:r>
      <w:r>
        <w:rPr>
          <w:rFonts w:ascii="David" w:hAnsi="David"/>
          <w:rtl/>
        </w:rPr>
        <w:tab/>
        <w:t>המבקש מבקש לערער על פסיקתו של בית משפט קמא ב</w:t>
      </w:r>
      <w:r w:rsidR="00783014">
        <w:rPr>
          <w:rFonts w:ascii="David" w:hAnsi="David"/>
          <w:rtl/>
        </w:rPr>
        <w:t xml:space="preserve">החלטה קמא, לפיה לא מצא כי יש </w:t>
      </w:r>
      <w:r w:rsidR="00783014">
        <w:rPr>
          <w:rFonts w:ascii="David" w:hAnsi="David"/>
          <w:rtl/>
        </w:rPr>
        <w:tab/>
      </w:r>
      <w:r w:rsidR="00783014">
        <w:rPr>
          <w:rFonts w:ascii="David" w:hAnsi="David"/>
          <w:rtl/>
        </w:rPr>
        <w:tab/>
      </w:r>
      <w:r>
        <w:rPr>
          <w:rFonts w:ascii="David" w:hAnsi="David"/>
          <w:rtl/>
        </w:rPr>
        <w:t xml:space="preserve">להורות על העברת מלוא דמי השכירות המתקבלים עבור הדירה לידי המבקש. </w:t>
      </w:r>
    </w:p>
    <w:p w:rsidR="006F48E1" w:rsidRDefault="006F48E1" w:rsidP="00783014">
      <w:pPr>
        <w:spacing w:after="120" w:line="360" w:lineRule="auto"/>
        <w:jc w:val="both"/>
        <w:rPr>
          <w:rFonts w:ascii="David" w:hAnsi="David"/>
          <w:rtl/>
        </w:rPr>
      </w:pPr>
      <w:r>
        <w:rPr>
          <w:rFonts w:ascii="David" w:hAnsi="David"/>
          <w:rtl/>
        </w:rPr>
        <w:tab/>
      </w:r>
      <w:r>
        <w:rPr>
          <w:rFonts w:ascii="David" w:hAnsi="David"/>
          <w:rtl/>
        </w:rPr>
        <w:tab/>
        <w:t>המבקש טוען כי מדובר בבקשה להקפאת מצב קיים, במסגר</w:t>
      </w:r>
      <w:r w:rsidR="00783014">
        <w:rPr>
          <w:rFonts w:ascii="David" w:hAnsi="David"/>
          <w:rtl/>
        </w:rPr>
        <w:t xml:space="preserve">תו במהלך שמונה השנים </w:t>
      </w:r>
      <w:r w:rsidR="00783014">
        <w:rPr>
          <w:rFonts w:ascii="David" w:hAnsi="David"/>
          <w:rtl/>
        </w:rPr>
        <w:tab/>
      </w:r>
      <w:r w:rsidR="00783014">
        <w:rPr>
          <w:rFonts w:ascii="David" w:hAnsi="David"/>
          <w:rtl/>
        </w:rPr>
        <w:tab/>
        <w:t xml:space="preserve">האחרונות </w:t>
      </w:r>
      <w:r>
        <w:rPr>
          <w:rFonts w:ascii="David" w:hAnsi="David"/>
          <w:rtl/>
        </w:rPr>
        <w:t>המבקש קיבל לידיו את מלוא דמי השכירות שהתקבלו מהשכ</w:t>
      </w:r>
      <w:r w:rsidR="00783014">
        <w:rPr>
          <w:rFonts w:ascii="David" w:hAnsi="David"/>
          <w:rtl/>
        </w:rPr>
        <w:t xml:space="preserve">רת הדירה לצד ג', </w:t>
      </w:r>
      <w:r w:rsidR="00783014">
        <w:rPr>
          <w:rFonts w:ascii="David" w:hAnsi="David"/>
          <w:rtl/>
        </w:rPr>
        <w:tab/>
      </w:r>
      <w:r w:rsidR="00783014">
        <w:rPr>
          <w:rFonts w:ascii="David" w:hAnsi="David"/>
          <w:rtl/>
        </w:rPr>
        <w:tab/>
        <w:t xml:space="preserve">וכי אף מעדות </w:t>
      </w:r>
      <w:r>
        <w:rPr>
          <w:rFonts w:ascii="David" w:hAnsi="David"/>
          <w:rtl/>
        </w:rPr>
        <w:t xml:space="preserve">המשיבה עולה, כי מעולם לא היתה מחלוקת בדבר קבלת דמי השכירות </w:t>
      </w:r>
      <w:r w:rsidR="00783014">
        <w:rPr>
          <w:rFonts w:ascii="David" w:hAnsi="David"/>
          <w:rtl/>
        </w:rPr>
        <w:tab/>
      </w:r>
      <w:r w:rsidR="00783014">
        <w:rPr>
          <w:rFonts w:ascii="David" w:hAnsi="David"/>
          <w:rtl/>
        </w:rPr>
        <w:tab/>
      </w:r>
      <w:r>
        <w:rPr>
          <w:rFonts w:ascii="David" w:hAnsi="David"/>
          <w:rtl/>
        </w:rPr>
        <w:t>במלואם בידי המבקש.</w:t>
      </w:r>
    </w:p>
    <w:p w:rsidR="006F48E1" w:rsidRDefault="006F48E1" w:rsidP="00783014">
      <w:pPr>
        <w:spacing w:after="120" w:line="360" w:lineRule="auto"/>
        <w:jc w:val="both"/>
        <w:rPr>
          <w:rFonts w:ascii="David" w:hAnsi="David"/>
          <w:rtl/>
        </w:rPr>
      </w:pPr>
      <w:r>
        <w:rPr>
          <w:rFonts w:ascii="David" w:hAnsi="David"/>
          <w:rtl/>
        </w:rPr>
        <w:tab/>
      </w:r>
      <w:r>
        <w:rPr>
          <w:rFonts w:ascii="David" w:hAnsi="David"/>
          <w:rtl/>
        </w:rPr>
        <w:tab/>
        <w:t>לטענת המבקש, בית משפט קמא לא דן בסעד לגופו, לא ד</w:t>
      </w:r>
      <w:r w:rsidR="00783014">
        <w:rPr>
          <w:rFonts w:ascii="David" w:hAnsi="David"/>
          <w:rtl/>
        </w:rPr>
        <w:t>ן בדרישות החוק והפסיקה בזיקה</w:t>
      </w:r>
      <w:r w:rsidR="00783014">
        <w:rPr>
          <w:rFonts w:ascii="David" w:hAnsi="David" w:hint="cs"/>
          <w:rtl/>
        </w:rPr>
        <w:t xml:space="preserve"> </w:t>
      </w:r>
      <w:r w:rsidR="00783014">
        <w:rPr>
          <w:rFonts w:ascii="David" w:hAnsi="David"/>
          <w:rtl/>
        </w:rPr>
        <w:tab/>
      </w:r>
      <w:r w:rsidR="00783014">
        <w:rPr>
          <w:rFonts w:ascii="David" w:hAnsi="David"/>
          <w:rtl/>
        </w:rPr>
        <w:tab/>
      </w:r>
      <w:r>
        <w:rPr>
          <w:rFonts w:ascii="David" w:hAnsi="David"/>
          <w:rtl/>
        </w:rPr>
        <w:t>להתקיימות התנאים להענקת הסעד ולא ערך כל דיון משפטי בסוגיית הסעד הזמני.</w:t>
      </w:r>
    </w:p>
    <w:p w:rsidR="006F48E1" w:rsidRDefault="006F48E1" w:rsidP="00783014">
      <w:pPr>
        <w:spacing w:after="120" w:line="360" w:lineRule="auto"/>
        <w:jc w:val="both"/>
        <w:rPr>
          <w:rFonts w:ascii="David" w:hAnsi="David"/>
          <w:rtl/>
        </w:rPr>
      </w:pPr>
      <w:r>
        <w:rPr>
          <w:rFonts w:ascii="David" w:hAnsi="David"/>
          <w:rtl/>
        </w:rPr>
        <w:tab/>
        <w:t>ב.</w:t>
      </w:r>
      <w:r>
        <w:rPr>
          <w:rFonts w:ascii="David" w:hAnsi="David"/>
          <w:rtl/>
        </w:rPr>
        <w:tab/>
        <w:t>התייחסות בית משפט קמא בהחלטה קמא לסעד המבוקש, נעד</w:t>
      </w:r>
      <w:r w:rsidR="00783014">
        <w:rPr>
          <w:rFonts w:ascii="David" w:hAnsi="David"/>
          <w:rtl/>
        </w:rPr>
        <w:t>רה כל נימוק, לא עומדת</w:t>
      </w:r>
      <w:r w:rsidR="00783014">
        <w:rPr>
          <w:rFonts w:ascii="David" w:hAnsi="David" w:hint="cs"/>
          <w:rtl/>
        </w:rPr>
        <w:t xml:space="preserve"> </w:t>
      </w:r>
      <w:r w:rsidR="00783014">
        <w:rPr>
          <w:rFonts w:ascii="David" w:hAnsi="David"/>
          <w:rtl/>
        </w:rPr>
        <w:tab/>
      </w:r>
      <w:r w:rsidR="00783014">
        <w:rPr>
          <w:rFonts w:ascii="David" w:hAnsi="David"/>
          <w:rtl/>
        </w:rPr>
        <w:tab/>
        <w:t xml:space="preserve">בדרישות </w:t>
      </w:r>
      <w:r>
        <w:rPr>
          <w:rFonts w:ascii="David" w:hAnsi="David"/>
          <w:rtl/>
        </w:rPr>
        <w:t xml:space="preserve">הנימוק על פי הדין והפסיקה, ומטעם זה נדרשת התערבות בית משפט לערעור.  </w:t>
      </w:r>
    </w:p>
    <w:p w:rsidR="006F48E1" w:rsidRDefault="006F48E1" w:rsidP="00783014">
      <w:pPr>
        <w:spacing w:after="120" w:line="360" w:lineRule="auto"/>
        <w:jc w:val="both"/>
        <w:rPr>
          <w:rFonts w:ascii="David" w:hAnsi="David"/>
          <w:rtl/>
        </w:rPr>
      </w:pPr>
      <w:r>
        <w:rPr>
          <w:rFonts w:ascii="David" w:hAnsi="David"/>
          <w:rtl/>
        </w:rPr>
        <w:tab/>
        <w:t>ג.</w:t>
      </w:r>
      <w:r>
        <w:rPr>
          <w:rFonts w:ascii="David" w:hAnsi="David"/>
          <w:rtl/>
        </w:rPr>
        <w:tab/>
        <w:t>ההחלטה קמא אינה סבירה ובטעות יסודה. הותרת ההחלטה קמא</w:t>
      </w:r>
      <w:r w:rsidR="00783014">
        <w:rPr>
          <w:rFonts w:ascii="David" w:hAnsi="David"/>
          <w:rtl/>
        </w:rPr>
        <w:t xml:space="preserve"> על כנה יוצרת עוול, </w:t>
      </w:r>
      <w:r w:rsidR="00783014">
        <w:rPr>
          <w:rFonts w:ascii="David" w:hAnsi="David"/>
          <w:rtl/>
        </w:rPr>
        <w:tab/>
      </w:r>
      <w:r w:rsidR="00783014">
        <w:rPr>
          <w:rFonts w:ascii="David" w:hAnsi="David"/>
          <w:rtl/>
        </w:rPr>
        <w:tab/>
        <w:t xml:space="preserve">עיוות דין </w:t>
      </w:r>
      <w:r>
        <w:rPr>
          <w:rFonts w:ascii="David" w:hAnsi="David"/>
          <w:rtl/>
        </w:rPr>
        <w:t>ומצג המעוות את התמונה האמתית אשר תפגע בזכות המב</w:t>
      </w:r>
      <w:r w:rsidR="00783014">
        <w:rPr>
          <w:rFonts w:ascii="David" w:hAnsi="David"/>
          <w:rtl/>
        </w:rPr>
        <w:t xml:space="preserve">קש להליך הוגן. משגי </w:t>
      </w:r>
      <w:r w:rsidR="00783014">
        <w:rPr>
          <w:rFonts w:ascii="David" w:hAnsi="David"/>
          <w:rtl/>
        </w:rPr>
        <w:tab/>
      </w:r>
      <w:r w:rsidR="00783014">
        <w:rPr>
          <w:rFonts w:ascii="David" w:hAnsi="David"/>
          <w:rtl/>
        </w:rPr>
        <w:tab/>
        <w:t xml:space="preserve">בית משפט </w:t>
      </w:r>
      <w:r>
        <w:rPr>
          <w:rFonts w:ascii="David" w:hAnsi="David"/>
          <w:rtl/>
        </w:rPr>
        <w:t>קמא גורמים לאי צדק ונפל בהם פגם דיוני היורד לשורשה</w:t>
      </w:r>
      <w:r w:rsidR="00783014">
        <w:rPr>
          <w:rFonts w:ascii="David" w:hAnsi="David"/>
          <w:rtl/>
        </w:rPr>
        <w:t xml:space="preserve"> של ההחלטה,</w:t>
      </w:r>
      <w:r w:rsidR="00783014">
        <w:rPr>
          <w:rFonts w:ascii="David" w:hAnsi="David" w:hint="cs"/>
          <w:rtl/>
        </w:rPr>
        <w:t xml:space="preserve"> </w:t>
      </w:r>
      <w:r w:rsidR="00783014">
        <w:rPr>
          <w:rFonts w:ascii="David" w:hAnsi="David"/>
          <w:rtl/>
        </w:rPr>
        <w:tab/>
      </w:r>
      <w:r w:rsidR="00783014">
        <w:rPr>
          <w:rFonts w:ascii="David" w:hAnsi="David"/>
          <w:rtl/>
        </w:rPr>
        <w:tab/>
      </w:r>
      <w:r w:rsidR="00783014">
        <w:rPr>
          <w:rFonts w:ascii="David" w:hAnsi="David"/>
          <w:rtl/>
        </w:rPr>
        <w:tab/>
        <w:t xml:space="preserve">והתערבות בה אינה </w:t>
      </w:r>
      <w:r>
        <w:rPr>
          <w:rFonts w:ascii="David" w:hAnsi="David"/>
          <w:rtl/>
        </w:rPr>
        <w:t>סובלת דיחוי.</w:t>
      </w:r>
    </w:p>
    <w:p w:rsidR="006F48E1" w:rsidRDefault="006F48E1" w:rsidP="00783014">
      <w:pPr>
        <w:spacing w:after="120" w:line="360" w:lineRule="auto"/>
        <w:jc w:val="both"/>
        <w:rPr>
          <w:rFonts w:ascii="David" w:hAnsi="David"/>
          <w:rtl/>
        </w:rPr>
      </w:pPr>
      <w:r>
        <w:rPr>
          <w:rFonts w:ascii="David" w:hAnsi="David"/>
          <w:rtl/>
        </w:rPr>
        <w:lastRenderedPageBreak/>
        <w:tab/>
        <w:t>ד.</w:t>
      </w:r>
      <w:r>
        <w:rPr>
          <w:rFonts w:ascii="David" w:hAnsi="David"/>
          <w:rtl/>
        </w:rPr>
        <w:tab/>
        <w:t>שגה בית משפט קמא עת לא נתן כל משקל להצהרותיה הש</w:t>
      </w:r>
      <w:r w:rsidR="00783014">
        <w:rPr>
          <w:rFonts w:ascii="David" w:hAnsi="David"/>
          <w:rtl/>
        </w:rPr>
        <w:t>קריות של המשיבה בהסכם</w:t>
      </w:r>
      <w:r w:rsidR="00783014">
        <w:rPr>
          <w:rFonts w:ascii="David" w:hAnsi="David" w:hint="cs"/>
          <w:rtl/>
        </w:rPr>
        <w:t xml:space="preserve"> </w:t>
      </w:r>
      <w:r w:rsidR="00783014">
        <w:rPr>
          <w:rFonts w:ascii="David" w:hAnsi="David"/>
          <w:rtl/>
        </w:rPr>
        <w:tab/>
      </w:r>
      <w:r w:rsidR="00783014">
        <w:rPr>
          <w:rFonts w:ascii="David" w:hAnsi="David"/>
          <w:rtl/>
        </w:rPr>
        <w:tab/>
        <w:t xml:space="preserve">השכירות </w:t>
      </w:r>
      <w:r>
        <w:rPr>
          <w:rFonts w:ascii="David" w:hAnsi="David"/>
          <w:rtl/>
        </w:rPr>
        <w:t xml:space="preserve">שהציגה, אשר נחתם על ידה ביום 26.12.22 – עת הצהירה כי </w:t>
      </w:r>
      <w:r w:rsidR="00783014">
        <w:rPr>
          <w:rFonts w:ascii="David" w:hAnsi="David"/>
          <w:rtl/>
        </w:rPr>
        <w:t xml:space="preserve">ערב השכרתה, </w:t>
      </w:r>
      <w:r w:rsidR="00783014">
        <w:rPr>
          <w:rFonts w:ascii="David" w:hAnsi="David"/>
          <w:rtl/>
        </w:rPr>
        <w:tab/>
      </w:r>
      <w:r w:rsidR="00783014">
        <w:rPr>
          <w:rFonts w:ascii="David" w:hAnsi="David"/>
          <w:rtl/>
        </w:rPr>
        <w:tab/>
        <w:t xml:space="preserve">בדירה לא היה דייר </w:t>
      </w:r>
      <w:r>
        <w:rPr>
          <w:rFonts w:ascii="David" w:hAnsi="David"/>
          <w:rtl/>
        </w:rPr>
        <w:t>הזכאי להחזיק בה, וכי אין לאיש, זולת המשכיר, כל זכויות שהן בדירה.</w:t>
      </w:r>
    </w:p>
    <w:p w:rsidR="006F48E1" w:rsidRDefault="006F48E1" w:rsidP="00783014">
      <w:pPr>
        <w:spacing w:after="120" w:line="360" w:lineRule="auto"/>
        <w:jc w:val="both"/>
        <w:rPr>
          <w:rFonts w:ascii="David" w:hAnsi="David"/>
          <w:rtl/>
        </w:rPr>
      </w:pPr>
      <w:r>
        <w:rPr>
          <w:rFonts w:ascii="David" w:hAnsi="David"/>
          <w:rtl/>
        </w:rPr>
        <w:tab/>
        <w:t>ה.</w:t>
      </w:r>
      <w:r>
        <w:rPr>
          <w:rFonts w:ascii="David" w:hAnsi="David"/>
          <w:rtl/>
        </w:rPr>
        <w:tab/>
        <w:t>נוסף על האמור ולנוכח "הונאת" בית משפט קמא, המבקש</w:t>
      </w:r>
      <w:r w:rsidR="00783014">
        <w:rPr>
          <w:rFonts w:ascii="David" w:hAnsi="David"/>
          <w:rtl/>
        </w:rPr>
        <w:t xml:space="preserve"> ומשיבה 2, יש לחייב את</w:t>
      </w:r>
      <w:r w:rsidR="00783014">
        <w:rPr>
          <w:rFonts w:ascii="David" w:hAnsi="David" w:hint="cs"/>
          <w:rtl/>
        </w:rPr>
        <w:t xml:space="preserve"> </w:t>
      </w:r>
      <w:r w:rsidR="00783014">
        <w:rPr>
          <w:rFonts w:ascii="David" w:hAnsi="David"/>
          <w:rtl/>
        </w:rPr>
        <w:tab/>
      </w:r>
      <w:r w:rsidR="00783014">
        <w:rPr>
          <w:rFonts w:ascii="David" w:hAnsi="David"/>
          <w:rtl/>
        </w:rPr>
        <w:tab/>
      </w:r>
      <w:r w:rsidR="00783014">
        <w:rPr>
          <w:rFonts w:ascii="David" w:hAnsi="David"/>
          <w:rtl/>
        </w:rPr>
        <w:tab/>
        <w:t xml:space="preserve">המשיבה </w:t>
      </w:r>
      <w:r>
        <w:rPr>
          <w:rFonts w:ascii="David" w:hAnsi="David"/>
          <w:rtl/>
        </w:rPr>
        <w:t>בהוצאות משפט ושכ"ט עו"ד לטובת המבקש, משיבה 2 ואו</w:t>
      </w:r>
      <w:r w:rsidR="00783014">
        <w:rPr>
          <w:rFonts w:ascii="David" w:hAnsi="David"/>
          <w:rtl/>
        </w:rPr>
        <w:t xml:space="preserve">צר המדינה בשתי </w:t>
      </w:r>
      <w:r w:rsidR="00783014">
        <w:rPr>
          <w:rFonts w:ascii="David" w:hAnsi="David"/>
          <w:rtl/>
        </w:rPr>
        <w:tab/>
      </w:r>
      <w:r w:rsidR="00783014">
        <w:rPr>
          <w:rFonts w:ascii="David" w:hAnsi="David"/>
          <w:rtl/>
        </w:rPr>
        <w:tab/>
        <w:t xml:space="preserve">הערכאות, באופן </w:t>
      </w:r>
      <w:r>
        <w:rPr>
          <w:rFonts w:ascii="David" w:hAnsi="David"/>
          <w:rtl/>
        </w:rPr>
        <w:t>שישקף התנהלות כגון דא של בעל דין שלא מגלה כל מור</w:t>
      </w:r>
      <w:r w:rsidR="00783014">
        <w:rPr>
          <w:rFonts w:ascii="David" w:hAnsi="David"/>
          <w:rtl/>
        </w:rPr>
        <w:t xml:space="preserve">א מהחוק </w:t>
      </w:r>
      <w:r w:rsidR="00783014">
        <w:rPr>
          <w:rFonts w:ascii="David" w:hAnsi="David"/>
          <w:rtl/>
        </w:rPr>
        <w:tab/>
      </w:r>
      <w:r w:rsidR="00783014">
        <w:rPr>
          <w:rFonts w:ascii="David" w:hAnsi="David"/>
          <w:rtl/>
        </w:rPr>
        <w:tab/>
      </w:r>
      <w:r w:rsidR="00783014">
        <w:rPr>
          <w:rFonts w:ascii="David" w:hAnsi="David"/>
          <w:rtl/>
        </w:rPr>
        <w:tab/>
        <w:t>ומבימ"ש, ושם ללעג את ההליך</w:t>
      </w:r>
      <w:r w:rsidR="00783014">
        <w:rPr>
          <w:rFonts w:ascii="David" w:hAnsi="David" w:hint="cs"/>
          <w:rtl/>
        </w:rPr>
        <w:t xml:space="preserve"> </w:t>
      </w:r>
      <w:r>
        <w:rPr>
          <w:rFonts w:ascii="David" w:hAnsi="David"/>
          <w:rtl/>
        </w:rPr>
        <w:t>המשפטי.</w:t>
      </w:r>
    </w:p>
    <w:p w:rsidR="006F48E1" w:rsidRDefault="006F48E1" w:rsidP="00783014">
      <w:pPr>
        <w:spacing w:after="120" w:line="360" w:lineRule="auto"/>
        <w:jc w:val="both"/>
        <w:rPr>
          <w:rFonts w:ascii="David" w:hAnsi="David"/>
          <w:rtl/>
        </w:rPr>
      </w:pPr>
    </w:p>
    <w:p w:rsidR="006F48E1" w:rsidRDefault="006F48E1" w:rsidP="00783014">
      <w:pPr>
        <w:spacing w:after="120" w:line="360" w:lineRule="auto"/>
        <w:jc w:val="both"/>
        <w:rPr>
          <w:rFonts w:ascii="David" w:hAnsi="David"/>
          <w:rtl/>
        </w:rPr>
      </w:pPr>
      <w:r>
        <w:rPr>
          <w:rFonts w:ascii="David" w:hAnsi="David"/>
          <w:b/>
          <w:bCs/>
          <w:u w:val="single"/>
          <w:rtl/>
        </w:rPr>
        <w:t xml:space="preserve">דיון והכרעה </w:t>
      </w:r>
    </w:p>
    <w:p w:rsidR="006F48E1" w:rsidRDefault="006F48E1" w:rsidP="00783014">
      <w:pPr>
        <w:spacing w:after="120" w:line="360" w:lineRule="auto"/>
        <w:jc w:val="both"/>
        <w:rPr>
          <w:rFonts w:ascii="David" w:hAnsi="David"/>
          <w:rtl/>
        </w:rPr>
      </w:pPr>
      <w:r>
        <w:rPr>
          <w:rFonts w:ascii="David" w:hAnsi="David"/>
          <w:rtl/>
        </w:rPr>
        <w:t>21.</w:t>
      </w:r>
      <w:r>
        <w:rPr>
          <w:rFonts w:ascii="David" w:hAnsi="David"/>
          <w:rtl/>
        </w:rPr>
        <w:tab/>
      </w:r>
      <w:r>
        <w:rPr>
          <w:rFonts w:ascii="David" w:hAnsi="David"/>
          <w:b/>
          <w:bCs/>
          <w:rtl/>
        </w:rPr>
        <w:t xml:space="preserve">לאחר עיון בבקשת רשות הערעור על נספחיה ובתיק קמא שוכנעתי לדחות את בקשת רשות הערעור </w:t>
      </w:r>
      <w:r>
        <w:rPr>
          <w:rFonts w:ascii="David" w:hAnsi="David"/>
          <w:b/>
          <w:bCs/>
          <w:rtl/>
        </w:rPr>
        <w:tab/>
        <w:t xml:space="preserve">קמא אף ללא צורך בתשובה, מכח סמכותי על פי תקנות 138(א)(2) + (5) לתקנות סדר הדין האזרחי, </w:t>
      </w:r>
      <w:r>
        <w:rPr>
          <w:rFonts w:ascii="David" w:hAnsi="David"/>
          <w:b/>
          <w:bCs/>
          <w:rtl/>
        </w:rPr>
        <w:tab/>
        <w:t>תשע"ט-2018.</w:t>
      </w:r>
    </w:p>
    <w:p w:rsidR="006F48E1" w:rsidRDefault="006F48E1" w:rsidP="00783014">
      <w:pPr>
        <w:spacing w:after="120" w:line="360" w:lineRule="auto"/>
        <w:ind w:left="720" w:hanging="720"/>
        <w:jc w:val="both"/>
        <w:rPr>
          <w:rFonts w:ascii="David" w:hAnsi="David"/>
          <w:rtl/>
        </w:rPr>
      </w:pPr>
      <w:r>
        <w:rPr>
          <w:rFonts w:ascii="David" w:hAnsi="David"/>
          <w:b/>
          <w:bCs/>
          <w:rtl/>
        </w:rPr>
        <w:tab/>
      </w:r>
      <w:r>
        <w:rPr>
          <w:rFonts w:ascii="David" w:hAnsi="David"/>
          <w:rtl/>
        </w:rPr>
        <w:t>להלן אנמק החלטתי.</w:t>
      </w:r>
    </w:p>
    <w:p w:rsidR="006F48E1" w:rsidRDefault="006F48E1" w:rsidP="00783014">
      <w:pPr>
        <w:spacing w:after="120" w:line="360" w:lineRule="auto"/>
        <w:ind w:left="720" w:hanging="720"/>
        <w:jc w:val="both"/>
        <w:rPr>
          <w:rFonts w:ascii="David" w:hAnsi="David"/>
          <w:rtl/>
        </w:rPr>
      </w:pPr>
      <w:r>
        <w:rPr>
          <w:rFonts w:ascii="David" w:hAnsi="David"/>
          <w:rtl/>
        </w:rPr>
        <w:t>22.</w:t>
      </w:r>
      <w:r>
        <w:rPr>
          <w:rFonts w:ascii="David" w:hAnsi="David"/>
          <w:rtl/>
        </w:rPr>
        <w:tab/>
        <w:t xml:space="preserve">ההחלטה קמא היא החלטת ביניים שניתנה במהלך ניהול ההליך קמא, ובמסגרת בקשה לסעד זמני. מלשונו של סעיף 52(ב) לחוק בתי המשפט [נוסח משולב] התשמ"ד – 1984, עולה כי ככלל יידונו השגות הצדדים על "החלטות אחרות" (החלטות ביניים) של הערכאה הדיונית במסגרת הערעור על פסק הדין, אלא אם עלה בידי מבקש רשות הערעור, להראות כי דחיית הדיון בהשגה על ההחלטה לשלב הערעור על פסק הדין, עלולה להשפיע באופן ממשי על זכויות הצדדים; עלולה לגרום לנזק של ממש, או עלולה להביא לקיומו של הליך מיותר או שגוי. </w:t>
      </w:r>
    </w:p>
    <w:p w:rsidR="006F48E1" w:rsidRDefault="006F48E1" w:rsidP="00783014">
      <w:pPr>
        <w:spacing w:after="120" w:line="360" w:lineRule="auto"/>
        <w:ind w:left="720" w:hanging="720"/>
        <w:jc w:val="both"/>
        <w:rPr>
          <w:rFonts w:ascii="David" w:hAnsi="David"/>
          <w:rtl/>
        </w:rPr>
      </w:pPr>
      <w:r>
        <w:rPr>
          <w:rFonts w:ascii="David" w:hAnsi="David"/>
          <w:rtl/>
        </w:rPr>
        <w:t>23.</w:t>
      </w:r>
      <w:r>
        <w:rPr>
          <w:rFonts w:ascii="David" w:hAnsi="David"/>
          <w:rtl/>
        </w:rPr>
        <w:tab/>
        <w:t>תקנה 150 לתקנות קובעת כי אף אם צד להליך לא ערער על החלטה אחרת עם נתינתה, פתוחה בפניו הדרך להשיג עליה בזכות עם סיום ההליך, במסגרת ערעורו על פסק הדין.</w:t>
      </w:r>
    </w:p>
    <w:p w:rsidR="006F48E1" w:rsidRDefault="006F48E1" w:rsidP="00783014">
      <w:pPr>
        <w:spacing w:after="120" w:line="360" w:lineRule="auto"/>
        <w:ind w:left="720" w:hanging="720"/>
        <w:jc w:val="both"/>
        <w:rPr>
          <w:rFonts w:ascii="David" w:hAnsi="David"/>
          <w:rtl/>
        </w:rPr>
      </w:pPr>
      <w:r>
        <w:rPr>
          <w:rFonts w:ascii="David" w:hAnsi="David"/>
          <w:rtl/>
        </w:rPr>
        <w:t>24.</w:t>
      </w:r>
      <w:r>
        <w:rPr>
          <w:rFonts w:ascii="David" w:hAnsi="David"/>
          <w:rtl/>
        </w:rPr>
        <w:tab/>
        <w:t xml:space="preserve">בהלכה הפסוקה יושמה הוראת סעיף 41(ב) לחוק בתי המשפט (שעוסקת ברשות ערעור על החלטת בית המשפט המחוזי המוגשת בפני בית המשפט העליון, אך זהה במתכונתה בכל הנוגע לתנאים הקבועים בהוראות סעיף 52(ב) לחוק, בהם צריך מבקש רשות הערעור לעמוד) באופן שנקבע כי יהיה מקום ליתן רשות ערעור על "החלטה אחרת" רק כאשר בכוחו של המבקש להראות כי הדיון בערעור עליה נחוץ, על אף שההליך העיקרי טרם הגיע לסיומו. </w:t>
      </w:r>
    </w:p>
    <w:p w:rsidR="006F48E1" w:rsidRDefault="006F48E1" w:rsidP="00783014">
      <w:pPr>
        <w:spacing w:after="120" w:line="360" w:lineRule="auto"/>
        <w:ind w:left="720" w:hanging="720"/>
        <w:jc w:val="both"/>
        <w:rPr>
          <w:rFonts w:ascii="David" w:hAnsi="David"/>
          <w:rtl/>
        </w:rPr>
      </w:pPr>
      <w:r>
        <w:rPr>
          <w:rFonts w:ascii="David" w:hAnsi="David"/>
          <w:rtl/>
        </w:rPr>
        <w:t>25.</w:t>
      </w:r>
      <w:r>
        <w:rPr>
          <w:rFonts w:ascii="David" w:hAnsi="David"/>
          <w:rtl/>
        </w:rPr>
        <w:tab/>
        <w:t>מבין הנסיבות אותן ניתן למנות לעניין נחיצות הדיון הן: הדירותה של ההחלטה, היינו, האם ההחלטה עשויה להשפיע באופן בלתי הפיך על זכויות הצדדים; ההכרעה עשויה לייתר הליך משפטי ארוך ומורכב במיוחד; ההכרעה תמנע קיומו של הליך שגוי; מקרים נדירים בהם ניתן לומר מיד כי הערכאה המבררת טעתה טעות ברורה, באופן שנפתח את שערי ערכאת הערעור עוד בטרם ניתן פסק הדין.</w:t>
      </w:r>
    </w:p>
    <w:p w:rsidR="006F48E1" w:rsidRDefault="006F48E1" w:rsidP="00783014">
      <w:pPr>
        <w:spacing w:after="120" w:line="360" w:lineRule="auto"/>
        <w:ind w:left="720" w:hanging="720"/>
        <w:jc w:val="both"/>
        <w:rPr>
          <w:rFonts w:ascii="David" w:hAnsi="David"/>
          <w:rtl/>
        </w:rPr>
      </w:pPr>
      <w:r>
        <w:rPr>
          <w:rFonts w:ascii="David" w:hAnsi="David"/>
          <w:rtl/>
        </w:rPr>
        <w:lastRenderedPageBreak/>
        <w:tab/>
      </w:r>
      <w:r>
        <w:rPr>
          <w:rFonts w:ascii="David" w:hAnsi="David"/>
          <w:u w:val="single"/>
          <w:rtl/>
        </w:rPr>
        <w:t>ראו לעניין זה</w:t>
      </w:r>
      <w:r>
        <w:rPr>
          <w:rFonts w:ascii="David" w:hAnsi="David"/>
          <w:rtl/>
        </w:rPr>
        <w:t>:</w:t>
      </w:r>
    </w:p>
    <w:p w:rsidR="006F48E1" w:rsidRDefault="006F48E1" w:rsidP="00783014">
      <w:pPr>
        <w:spacing w:after="120" w:line="360" w:lineRule="auto"/>
        <w:ind w:left="720" w:hanging="720"/>
        <w:jc w:val="both"/>
        <w:rPr>
          <w:rFonts w:ascii="David" w:hAnsi="David"/>
          <w:rtl/>
        </w:rPr>
      </w:pPr>
      <w:r>
        <w:rPr>
          <w:rFonts w:ascii="David" w:hAnsi="David"/>
          <w:rtl/>
        </w:rPr>
        <w:tab/>
        <w:t xml:space="preserve">רע"א 6523/19 </w:t>
      </w:r>
      <w:r>
        <w:rPr>
          <w:rFonts w:ascii="David" w:hAnsi="David"/>
          <w:b/>
          <w:bCs/>
          <w:rtl/>
        </w:rPr>
        <w:t>פלוני נ' מגדל חברה לביטוח בע"מ</w:t>
      </w:r>
      <w:r>
        <w:rPr>
          <w:rFonts w:ascii="David" w:hAnsi="David"/>
          <w:rtl/>
        </w:rPr>
        <w:t>, פסקה 14 (3.2.20) – (אמנם החלטה זאת מתייחסת לסעיף 41(ב) לחוק בתי המשפט, אך ניתן להשליך ממנה על סעיף 52(ב) לחוק בתי המשפט, ועמדנו לעיל על דמיון הוראות שני הסעיפים הנ"ל).</w:t>
      </w:r>
    </w:p>
    <w:p w:rsidR="006F48E1" w:rsidRDefault="006F48E1" w:rsidP="00783014">
      <w:pPr>
        <w:spacing w:after="120" w:line="360" w:lineRule="auto"/>
        <w:ind w:left="720" w:hanging="720"/>
        <w:jc w:val="both"/>
        <w:rPr>
          <w:rFonts w:ascii="David" w:hAnsi="David"/>
          <w:rtl/>
        </w:rPr>
      </w:pPr>
      <w:r>
        <w:rPr>
          <w:rFonts w:ascii="David" w:hAnsi="David"/>
          <w:rtl/>
        </w:rPr>
        <w:tab/>
        <w:t xml:space="preserve">רמ"ש (ת"א) 14272-05-17 </w:t>
      </w:r>
      <w:r>
        <w:rPr>
          <w:rFonts w:ascii="David" w:hAnsi="David"/>
          <w:b/>
          <w:bCs/>
          <w:rtl/>
        </w:rPr>
        <w:t>י.ש נ' כ.ש</w:t>
      </w:r>
      <w:r>
        <w:rPr>
          <w:rFonts w:ascii="David" w:hAnsi="David"/>
          <w:rtl/>
        </w:rPr>
        <w:t xml:space="preserve"> (החלטתו של כב' השופט שוחט מיום 29/6/17, ובה מסוכמת ההלכה בנדון עם אסמכתאות נוספות).</w:t>
      </w:r>
    </w:p>
    <w:p w:rsidR="006F48E1" w:rsidRDefault="006F48E1" w:rsidP="00783014">
      <w:pPr>
        <w:spacing w:after="120" w:line="360" w:lineRule="auto"/>
        <w:ind w:left="720" w:hanging="720"/>
        <w:jc w:val="both"/>
        <w:rPr>
          <w:rFonts w:ascii="David" w:hAnsi="David"/>
          <w:rtl/>
        </w:rPr>
      </w:pPr>
      <w:r>
        <w:rPr>
          <w:rFonts w:ascii="David" w:hAnsi="David"/>
          <w:rtl/>
        </w:rPr>
        <w:tab/>
        <w:t xml:space="preserve">רמ"ש (חי') 59194-10-18 </w:t>
      </w:r>
      <w:r>
        <w:rPr>
          <w:rFonts w:ascii="David" w:hAnsi="David"/>
          <w:b/>
          <w:bCs/>
          <w:rtl/>
        </w:rPr>
        <w:t>פלונית נ' אלמוני</w:t>
      </w:r>
      <w:r>
        <w:rPr>
          <w:rFonts w:ascii="David" w:hAnsi="David"/>
          <w:rtl/>
        </w:rPr>
        <w:t xml:space="preserve"> (21.11.2018).</w:t>
      </w:r>
    </w:p>
    <w:p w:rsidR="006F48E1" w:rsidRDefault="006F48E1" w:rsidP="00783014">
      <w:pPr>
        <w:spacing w:after="120" w:line="360" w:lineRule="auto"/>
        <w:ind w:left="720" w:hanging="720"/>
        <w:jc w:val="both"/>
        <w:rPr>
          <w:rFonts w:ascii="David" w:hAnsi="David"/>
          <w:b/>
          <w:bCs/>
          <w:rtl/>
        </w:rPr>
      </w:pPr>
      <w:r>
        <w:rPr>
          <w:rFonts w:ascii="David" w:hAnsi="David"/>
          <w:rtl/>
        </w:rPr>
        <w:t>26.</w:t>
      </w:r>
      <w:r>
        <w:rPr>
          <w:rFonts w:ascii="David" w:hAnsi="David"/>
          <w:rtl/>
        </w:rPr>
        <w:tab/>
      </w:r>
      <w:r>
        <w:rPr>
          <w:rFonts w:ascii="David" w:hAnsi="David"/>
          <w:b/>
          <w:bCs/>
          <w:rtl/>
        </w:rPr>
        <w:t>בנסיבות המקרה הנדון לא מצאתי כי בהחלטת בית משפט קמא, במסגרתה נמנע מלהורות על העברת מלוא דמי השכירות המתקבלים עבור הדירה לידי המבקש, יש טעות המחייבת כבר בשלב זה את התערבות ערכאת הערעור.</w:t>
      </w:r>
    </w:p>
    <w:p w:rsidR="006F48E1" w:rsidRDefault="006F48E1" w:rsidP="00783014">
      <w:pPr>
        <w:spacing w:after="120" w:line="360" w:lineRule="auto"/>
        <w:ind w:left="720" w:hanging="720"/>
        <w:jc w:val="both"/>
        <w:rPr>
          <w:rFonts w:ascii="David" w:hAnsi="David"/>
          <w:rtl/>
        </w:rPr>
      </w:pPr>
      <w:r>
        <w:rPr>
          <w:rFonts w:ascii="David" w:hAnsi="David"/>
          <w:rtl/>
        </w:rPr>
        <w:t>27.</w:t>
      </w:r>
      <w:r>
        <w:rPr>
          <w:rFonts w:ascii="David" w:hAnsi="David"/>
          <w:b/>
          <w:bCs/>
          <w:rtl/>
        </w:rPr>
        <w:tab/>
      </w:r>
      <w:r>
        <w:rPr>
          <w:rFonts w:ascii="David" w:hAnsi="David"/>
          <w:rtl/>
        </w:rPr>
        <w:t xml:space="preserve">ודוק – </w:t>
      </w:r>
      <w:r>
        <w:rPr>
          <w:rFonts w:ascii="David" w:hAnsi="David"/>
          <w:b/>
          <w:bCs/>
          <w:rtl/>
        </w:rPr>
        <w:t>מדובר בהחלטת ביניים כספית במהותה,</w:t>
      </w:r>
      <w:r>
        <w:rPr>
          <w:rFonts w:ascii="David" w:hAnsi="David"/>
          <w:rtl/>
        </w:rPr>
        <w:t xml:space="preserve"> וככזו היא הפיכה. ככל שיתברר לאחר שמיעת ראיות ו/או במועד מתן פסק הדין כי נפלה טעות בהחלטה בדבר העברת דמי השכירות, ניתן יהיה לתקן זאת על ידי חיוב מי מהמשיבות בתשלום הסכום הדרוש לידי המבקש. המשיבה עצמה ציינה בתיק קמא, כי בהיותה בעלת נכסים וממון, המבקש יוכל להיפרע ממנה בקלות ככל שתתקבל תביעתו (ראו סעיף 18 לעיל), והמנוח לא סתר טענתה זאת (ואף לא ניסה לסותרה). </w:t>
      </w:r>
    </w:p>
    <w:p w:rsidR="006F48E1" w:rsidRDefault="006F48E1" w:rsidP="00783014">
      <w:pPr>
        <w:spacing w:after="120" w:line="360" w:lineRule="auto"/>
        <w:ind w:left="720" w:hanging="720"/>
        <w:jc w:val="both"/>
        <w:rPr>
          <w:rFonts w:ascii="David" w:hAnsi="David"/>
          <w:rtl/>
        </w:rPr>
      </w:pPr>
      <w:r>
        <w:rPr>
          <w:rFonts w:ascii="David" w:hAnsi="David"/>
          <w:rtl/>
        </w:rPr>
        <w:t>28.</w:t>
      </w:r>
      <w:r>
        <w:rPr>
          <w:rFonts w:ascii="David" w:hAnsi="David"/>
          <w:b/>
          <w:bCs/>
          <w:rtl/>
        </w:rPr>
        <w:tab/>
        <w:t xml:space="preserve">אף לגופם של דברים, לא מצאתי מתום בהחלטה קמא. </w:t>
      </w:r>
    </w:p>
    <w:p w:rsidR="006F48E1" w:rsidRDefault="006F48E1" w:rsidP="00783014">
      <w:pPr>
        <w:spacing w:after="120" w:line="360" w:lineRule="auto"/>
        <w:ind w:left="720"/>
        <w:jc w:val="both"/>
        <w:rPr>
          <w:rFonts w:ascii="David" w:hAnsi="David"/>
          <w:rtl/>
        </w:rPr>
      </w:pPr>
      <w:r>
        <w:rPr>
          <w:rFonts w:ascii="David" w:hAnsi="David"/>
          <w:rtl/>
        </w:rPr>
        <w:t>עיון בהחלטה קמא מלמד כי לא נפלה בה כל טעות המחייבת את התערבות ערכאת הערעור.</w:t>
      </w:r>
    </w:p>
    <w:p w:rsidR="006F48E1" w:rsidRDefault="006F48E1" w:rsidP="00783014">
      <w:pPr>
        <w:spacing w:after="120" w:line="360" w:lineRule="auto"/>
        <w:ind w:left="720"/>
        <w:jc w:val="both"/>
        <w:rPr>
          <w:rFonts w:ascii="David" w:hAnsi="David"/>
          <w:rtl/>
        </w:rPr>
      </w:pPr>
      <w:r>
        <w:rPr>
          <w:rFonts w:ascii="David" w:hAnsi="David"/>
          <w:rtl/>
        </w:rPr>
        <w:t>בית משפט קמא דן בבקשת המבקש ואף קיים שתי ישיבות בנוכחות הצדדים ובאי כחם, הצדדים נחקרו וגרסתם נשמעה בפני בית משפט קמא, ונתן החלטה מנומקת ומפורטת בנדון, בניגוד לטענתו של המבקש בבקשה זאת.</w:t>
      </w:r>
    </w:p>
    <w:p w:rsidR="00783014" w:rsidRDefault="006F48E1" w:rsidP="00CB2466">
      <w:pPr>
        <w:spacing w:after="120" w:line="360" w:lineRule="auto"/>
        <w:ind w:left="720" w:hanging="720"/>
        <w:jc w:val="both"/>
        <w:rPr>
          <w:rFonts w:ascii="David" w:hAnsi="David"/>
          <w:rtl/>
        </w:rPr>
      </w:pPr>
      <w:r>
        <w:rPr>
          <w:rFonts w:ascii="David" w:hAnsi="David"/>
          <w:rtl/>
        </w:rPr>
        <w:tab/>
        <w:t>טענתו של המבקש, לפיה מדובר בבקשה להקפאת מצב קיים, וכי המשיבות לא הביעו התנגדות איננה מדויקת, עת עיון בתיק קמא מלמד כי לגרסת המשיבה דמי השכירות בגין השכרת הדירה לא אמורים להגיע במלואם למבקש.</w:t>
      </w:r>
    </w:p>
    <w:p w:rsidR="006F48E1" w:rsidRDefault="006F48E1" w:rsidP="00783014">
      <w:pPr>
        <w:spacing w:after="120" w:line="360" w:lineRule="auto"/>
        <w:ind w:left="720" w:hanging="720"/>
        <w:jc w:val="both"/>
        <w:rPr>
          <w:rFonts w:ascii="David" w:hAnsi="David"/>
          <w:rtl/>
        </w:rPr>
      </w:pPr>
      <w:r>
        <w:rPr>
          <w:rFonts w:ascii="David" w:hAnsi="David"/>
          <w:rtl/>
        </w:rPr>
        <w:t>29.</w:t>
      </w:r>
      <w:r>
        <w:rPr>
          <w:rFonts w:ascii="David" w:hAnsi="David"/>
          <w:b/>
          <w:bCs/>
          <w:rtl/>
        </w:rPr>
        <w:tab/>
      </w:r>
      <w:r>
        <w:rPr>
          <w:rFonts w:ascii="David" w:hAnsi="David"/>
          <w:rtl/>
        </w:rPr>
        <w:t>בכל הקשור לדרישת המבקש לחייב את המשיבה בהוצאות משפט ושכ"ט עו"ד לטובת המבקש, משיבה 2 ואוצר המדינה בשתי הערכאות, אין להיענות לה וזאת משני טעמים כדלקמן:</w:t>
      </w:r>
    </w:p>
    <w:p w:rsidR="006F48E1" w:rsidRDefault="006F48E1" w:rsidP="00783014">
      <w:pPr>
        <w:spacing w:after="120" w:line="360" w:lineRule="auto"/>
        <w:ind w:left="720" w:hanging="720"/>
        <w:jc w:val="both"/>
        <w:rPr>
          <w:rFonts w:ascii="David" w:hAnsi="David"/>
          <w:rtl/>
        </w:rPr>
      </w:pPr>
      <w:r>
        <w:rPr>
          <w:rFonts w:ascii="David" w:hAnsi="David"/>
          <w:rtl/>
        </w:rPr>
        <w:tab/>
        <w:t>האחד, אמירתו של בית משפט קמא בסעיף 19 להחלטה קמא, כי בעניין ההוצאות "</w:t>
      </w:r>
      <w:r>
        <w:rPr>
          <w:rFonts w:ascii="David" w:hAnsi="David"/>
          <w:b/>
          <w:bCs/>
          <w:rtl/>
        </w:rPr>
        <w:t>התנהלות הצדדים תישקל עת מתן פסה"ד</w:t>
      </w:r>
      <w:r>
        <w:rPr>
          <w:rFonts w:ascii="David" w:hAnsi="David"/>
          <w:rtl/>
        </w:rPr>
        <w:t>".</w:t>
      </w:r>
    </w:p>
    <w:p w:rsidR="006F48E1" w:rsidRDefault="006F48E1" w:rsidP="00783014">
      <w:pPr>
        <w:spacing w:after="120" w:line="360" w:lineRule="auto"/>
        <w:ind w:left="720" w:hanging="720"/>
        <w:jc w:val="both"/>
        <w:rPr>
          <w:rFonts w:ascii="David" w:hAnsi="David"/>
          <w:rtl/>
        </w:rPr>
      </w:pPr>
      <w:r>
        <w:rPr>
          <w:rFonts w:ascii="David" w:hAnsi="David"/>
          <w:rtl/>
        </w:rPr>
        <w:tab/>
        <w:t>השני, בהתאם לאמור בסעיף 1(8) לצו בתי המשפט (סוגי החלטות שלא תינתן בהן רשות ערעור), תשס"ט-2009, לפיו לא תינתן רשות ערעור על החלטה בעניין הטלת הוצאות משפט ושכר טרחת עורך דין ושיעורם.</w:t>
      </w:r>
    </w:p>
    <w:p w:rsidR="006F48E1" w:rsidRDefault="006F48E1" w:rsidP="00783014">
      <w:pPr>
        <w:spacing w:after="120" w:line="360" w:lineRule="auto"/>
        <w:ind w:left="720" w:hanging="720"/>
        <w:jc w:val="both"/>
        <w:rPr>
          <w:rFonts w:ascii="David" w:hAnsi="David"/>
          <w:b/>
          <w:bCs/>
          <w:rtl/>
        </w:rPr>
      </w:pPr>
      <w:r>
        <w:rPr>
          <w:rFonts w:ascii="David" w:hAnsi="David"/>
          <w:rtl/>
        </w:rPr>
        <w:lastRenderedPageBreak/>
        <w:t>30.</w:t>
      </w:r>
      <w:r>
        <w:rPr>
          <w:rFonts w:ascii="David" w:hAnsi="David"/>
          <w:b/>
          <w:bCs/>
          <w:rtl/>
        </w:rPr>
        <w:tab/>
        <w:t xml:space="preserve">במצב דברים זה סבורני כי אין מקום להתערב בהחלטה קמא. </w:t>
      </w:r>
    </w:p>
    <w:p w:rsidR="006F48E1" w:rsidRDefault="006F48E1" w:rsidP="00783014">
      <w:pPr>
        <w:spacing w:after="120" w:line="360" w:lineRule="auto"/>
        <w:ind w:left="720" w:hanging="720"/>
        <w:jc w:val="both"/>
        <w:rPr>
          <w:rFonts w:ascii="David" w:hAnsi="David"/>
          <w:b/>
          <w:bCs/>
          <w:rtl/>
        </w:rPr>
      </w:pPr>
    </w:p>
    <w:p w:rsidR="006F48E1" w:rsidRDefault="006F48E1" w:rsidP="00783014">
      <w:pPr>
        <w:spacing w:after="120" w:line="360" w:lineRule="auto"/>
        <w:ind w:left="720" w:hanging="720"/>
        <w:jc w:val="both"/>
        <w:rPr>
          <w:rFonts w:ascii="David" w:hAnsi="David"/>
          <w:b/>
          <w:bCs/>
          <w:u w:val="single"/>
          <w:rtl/>
        </w:rPr>
      </w:pPr>
      <w:r>
        <w:rPr>
          <w:rFonts w:ascii="David" w:hAnsi="David"/>
          <w:b/>
          <w:bCs/>
          <w:u w:val="single"/>
          <w:rtl/>
        </w:rPr>
        <w:t>סוף דבר</w:t>
      </w:r>
    </w:p>
    <w:p w:rsidR="006F48E1" w:rsidRDefault="006F48E1" w:rsidP="00783014">
      <w:pPr>
        <w:spacing w:after="120" w:line="360" w:lineRule="auto"/>
        <w:ind w:left="720" w:hanging="720"/>
        <w:jc w:val="both"/>
        <w:rPr>
          <w:rFonts w:ascii="David" w:hAnsi="David"/>
          <w:b/>
          <w:bCs/>
          <w:rtl/>
        </w:rPr>
      </w:pPr>
      <w:r>
        <w:rPr>
          <w:rFonts w:ascii="David" w:hAnsi="David"/>
          <w:rtl/>
        </w:rPr>
        <w:t>31.</w:t>
      </w:r>
      <w:r>
        <w:rPr>
          <w:rFonts w:ascii="David" w:hAnsi="David"/>
          <w:b/>
          <w:bCs/>
          <w:rtl/>
        </w:rPr>
        <w:tab/>
        <w:t>לאור כל האמור לעיל אני מורה על דחיית בקשת רשות הערעור.</w:t>
      </w:r>
    </w:p>
    <w:p w:rsidR="006F48E1" w:rsidRDefault="006F48E1" w:rsidP="00783014">
      <w:pPr>
        <w:spacing w:after="120" w:line="360" w:lineRule="auto"/>
        <w:ind w:left="720" w:hanging="720"/>
        <w:jc w:val="both"/>
        <w:rPr>
          <w:rFonts w:ascii="David" w:hAnsi="David"/>
          <w:b/>
          <w:bCs/>
          <w:rtl/>
        </w:rPr>
      </w:pPr>
      <w:r>
        <w:rPr>
          <w:rFonts w:ascii="David" w:hAnsi="David"/>
          <w:rtl/>
        </w:rPr>
        <w:t>32.</w:t>
      </w:r>
      <w:r>
        <w:rPr>
          <w:rFonts w:ascii="David" w:hAnsi="David"/>
          <w:b/>
          <w:bCs/>
          <w:rtl/>
        </w:rPr>
        <w:tab/>
        <w:t xml:space="preserve">משלא התבקשה תשובה, אין צו להוצאות. </w:t>
      </w:r>
    </w:p>
    <w:p w:rsidR="006F48E1" w:rsidRDefault="006F48E1" w:rsidP="00783014">
      <w:pPr>
        <w:spacing w:after="120" w:line="360" w:lineRule="auto"/>
        <w:ind w:left="720" w:hanging="720"/>
        <w:jc w:val="both"/>
        <w:rPr>
          <w:rFonts w:ascii="David" w:hAnsi="David"/>
          <w:b/>
          <w:bCs/>
          <w:rtl/>
        </w:rPr>
      </w:pPr>
      <w:r>
        <w:rPr>
          <w:rFonts w:ascii="David" w:hAnsi="David"/>
          <w:b/>
          <w:bCs/>
          <w:rtl/>
        </w:rPr>
        <w:tab/>
      </w:r>
    </w:p>
    <w:p w:rsidR="006F48E1" w:rsidRDefault="006F48E1" w:rsidP="00783014">
      <w:pPr>
        <w:spacing w:after="120" w:line="360" w:lineRule="auto"/>
        <w:ind w:left="720" w:hanging="720"/>
        <w:jc w:val="both"/>
        <w:rPr>
          <w:rFonts w:ascii="David" w:hAnsi="David"/>
          <w:b/>
          <w:bCs/>
          <w:rtl/>
        </w:rPr>
      </w:pPr>
      <w:r>
        <w:rPr>
          <w:rFonts w:ascii="David" w:hAnsi="David"/>
          <w:b/>
          <w:bCs/>
          <w:rtl/>
        </w:rPr>
        <w:t xml:space="preserve">החלטה זאת מותרת לפרסום תוך השמטת שמות הצדדים וכל פרט מזהה אחר.      </w:t>
      </w:r>
    </w:p>
    <w:p w:rsidR="006F48E1" w:rsidRDefault="006F48E1" w:rsidP="00783014">
      <w:pPr>
        <w:spacing w:after="120" w:line="360" w:lineRule="auto"/>
        <w:ind w:left="720" w:hanging="720"/>
        <w:jc w:val="both"/>
        <w:rPr>
          <w:rFonts w:ascii="David" w:hAnsi="David"/>
          <w:b/>
          <w:bCs/>
          <w:rtl/>
        </w:rPr>
      </w:pPr>
    </w:p>
    <w:p w:rsidR="006F48E1" w:rsidRDefault="006F48E1" w:rsidP="00783014">
      <w:pPr>
        <w:spacing w:after="120" w:line="360" w:lineRule="auto"/>
        <w:ind w:left="720" w:hanging="720"/>
        <w:jc w:val="both"/>
        <w:rPr>
          <w:rFonts w:ascii="David" w:hAnsi="David"/>
          <w:rtl/>
        </w:rPr>
      </w:pPr>
      <w:r>
        <w:rPr>
          <w:rFonts w:ascii="David" w:hAnsi="David"/>
          <w:b/>
          <w:bCs/>
          <w:rtl/>
        </w:rPr>
        <w:t>המזכירות תעביר החלטה זו לצדדים.</w:t>
      </w:r>
    </w:p>
    <w:p w:rsidR="00694556" w:rsidRPr="00B95D6E" w:rsidRDefault="00694556">
      <w:pPr>
        <w:spacing w:line="360" w:lineRule="auto"/>
        <w:jc w:val="both"/>
        <w:rPr>
          <w:rFonts w:ascii="Arial" w:hAnsi="Arial"/>
          <w:noProof w:val="0"/>
          <w:rtl/>
        </w:rPr>
      </w:pPr>
      <w:bookmarkStart w:id="1" w:name="NGCSBookmark"/>
      <w:bookmarkEnd w:id="1"/>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י"ט אייר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10 מאי 2023</w:t>
          </w:r>
        </w:sdtContent>
      </w:sdt>
      <w:r w:rsidR="00005C8B">
        <w:rPr>
          <w:rFonts w:ascii="Arial" w:hAnsi="Arial"/>
          <w:noProof w:val="0"/>
          <w:rtl/>
        </w:rPr>
        <w:t>, בהעדר הצדדים.</w:t>
      </w:r>
    </w:p>
    <w:p w:rsidR="00C43648" w:rsidRDefault="00B6334C"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99175433"/>
        </w:sdtPr>
        <w:sdtEndPr/>
        <w:sdtContent>
          <w:r w:rsidR="0015434D">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F48E1">
      <w:headerReference w:type="even" r:id="rId9"/>
      <w:headerReference w:type="default" r:id="rId10"/>
      <w:footerReference w:type="even" r:id="rId11"/>
      <w:footerReference w:type="default" r:id="rId12"/>
      <w:headerReference w:type="first" r:id="rId13"/>
      <w:footerReference w:type="first" r:id="rId14"/>
      <w:pgSz w:w="11907" w:h="16840" w:code="9"/>
      <w:pgMar w:top="1440" w:right="1275" w:bottom="1440" w:left="156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334C" w:rsidRDefault="00B6334C">
      <w:r>
        <w:separator/>
      </w:r>
    </w:p>
  </w:endnote>
  <w:endnote w:type="continuationSeparator" w:id="0">
    <w:p w:rsidR="00B6334C" w:rsidRDefault="00B6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49A" w:rsidRDefault="00C2249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C79F2">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C79F2">
      <w:rPr>
        <w:rStyle w:val="ab"/>
        <w:rtl/>
      </w:rPr>
      <w:t>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49A" w:rsidRDefault="00C2249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334C" w:rsidRDefault="00B6334C">
      <w:r>
        <w:separator/>
      </w:r>
    </w:p>
  </w:footnote>
  <w:footnote w:type="continuationSeparator" w:id="0">
    <w:p w:rsidR="00B6334C" w:rsidRDefault="00B6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49A" w:rsidRDefault="00C2249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8"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B6334C" w:rsidP="00B8215B">
          <w:pPr>
            <w:rPr>
              <w:b/>
              <w:bCs/>
              <w:noProof w:val="0"/>
              <w:sz w:val="26"/>
              <w:szCs w:val="26"/>
              <w:rtl/>
            </w:rPr>
          </w:pPr>
          <w:sdt>
            <w:sdtPr>
              <w:rPr>
                <w:rtl/>
              </w:rPr>
              <w:alias w:val="1170"/>
              <w:tag w:val="1170"/>
              <w:id w:val="1066377040"/>
              <w:text w:multiLine="1"/>
            </w:sdtPr>
            <w:sdtEndPr/>
            <w:sdtContent>
              <w:r w:rsidR="00FE09EC">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FE09EC">
                <w:rPr>
                  <w:b/>
                  <w:bCs/>
                  <w:noProof w:val="0"/>
                  <w:sz w:val="26"/>
                  <w:szCs w:val="26"/>
                  <w:rtl/>
                </w:rPr>
                <w:t>22746-05-23</w:t>
              </w:r>
            </w:sdtContent>
          </w:sdt>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B8215B">
                <w:rPr>
                  <w:rFonts w:hint="cs"/>
                  <w:b/>
                  <w:bCs/>
                  <w:noProof w:val="0"/>
                  <w:sz w:val="26"/>
                  <w:szCs w:val="26"/>
                  <w:rtl/>
                </w:rPr>
                <w:t>ו'</w:t>
              </w:r>
              <w:r w:rsidR="00FE09EC">
                <w:rPr>
                  <w:b/>
                  <w:bCs/>
                  <w:noProof w:val="0"/>
                  <w:sz w:val="26"/>
                  <w:szCs w:val="26"/>
                  <w:rtl/>
                </w:rPr>
                <w:t xml:space="preserve"> נ' </w:t>
              </w:r>
              <w:r w:rsidR="00B8215B">
                <w:rPr>
                  <w:rFonts w:hint="cs"/>
                  <w:b/>
                  <w:bCs/>
                  <w:noProof w:val="0"/>
                  <w:sz w:val="26"/>
                  <w:szCs w:val="26"/>
                  <w:rtl/>
                </w:rPr>
                <w:t>ו'</w:t>
              </w:r>
              <w:r w:rsidR="00FE09EC">
                <w:rPr>
                  <w:b/>
                  <w:bCs/>
                  <w:noProof w:val="0"/>
                  <w:sz w:val="26"/>
                  <w:szCs w:val="26"/>
                  <w:rtl/>
                </w:rPr>
                <w:t xml:space="preserve"> ואח'</w:t>
              </w:r>
            </w:sdtContent>
          </w:sdt>
          <w:r w:rsidR="00CD516B">
            <w:rPr>
              <w:b/>
              <w:bCs/>
              <w:noProof w:val="0"/>
              <w:sz w:val="26"/>
              <w:szCs w:val="26"/>
              <w:rtl/>
            </w:rPr>
            <w:t xml:space="preserve"> </w:t>
          </w:r>
        </w:p>
        <w:p w:rsidR="007D45E3" w:rsidRPr="007B7765" w:rsidRDefault="007D45E3" w:rsidP="007D45E3">
          <w:pPr>
            <w:rPr>
              <w:b/>
              <w:bCs/>
              <w:noProof w:val="0"/>
              <w:sz w:val="2"/>
              <w:szCs w:val="2"/>
              <w:rtl/>
            </w:rPr>
          </w:pPr>
        </w:p>
        <w:p w:rsidR="008D10B2" w:rsidRPr="00E1068A" w:rsidRDefault="001173C6" w:rsidP="007D45E3">
          <w:pPr>
            <w:rPr>
              <w:sz w:val="20"/>
              <w:szCs w:val="20"/>
              <w:rtl/>
            </w:rPr>
          </w:pPr>
          <w:r>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49A" w:rsidRDefault="00C2249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40995"/>
    <w:multiLevelType w:val="hybridMultilevel"/>
    <w:tmpl w:val="E754478C"/>
    <w:lvl w:ilvl="0" w:tplc="400214F6">
      <w:start w:val="13"/>
      <w:numFmt w:val="decimal"/>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AF53348"/>
    <w:multiLevelType w:val="hybridMultilevel"/>
    <w:tmpl w:val="551098FE"/>
    <w:lvl w:ilvl="0" w:tplc="A8FEAD7E">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num w:numId="1">
    <w:abstractNumId w:val="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07DE0"/>
    <w:rsid w:val="000346CC"/>
    <w:rsid w:val="000529D2"/>
    <w:rsid w:val="000564AB"/>
    <w:rsid w:val="00064FBD"/>
    <w:rsid w:val="00082AB2"/>
    <w:rsid w:val="000906FE"/>
    <w:rsid w:val="00096AF7"/>
    <w:rsid w:val="000B344B"/>
    <w:rsid w:val="000C3847"/>
    <w:rsid w:val="000C3B0F"/>
    <w:rsid w:val="000C3B60"/>
    <w:rsid w:val="000E0DD2"/>
    <w:rsid w:val="000E3AF1"/>
    <w:rsid w:val="000F0BC8"/>
    <w:rsid w:val="000F0DD6"/>
    <w:rsid w:val="00107E6D"/>
    <w:rsid w:val="0011194C"/>
    <w:rsid w:val="0011424C"/>
    <w:rsid w:val="001173C6"/>
    <w:rsid w:val="001367BC"/>
    <w:rsid w:val="00144D2A"/>
    <w:rsid w:val="0014653E"/>
    <w:rsid w:val="0015434D"/>
    <w:rsid w:val="00180519"/>
    <w:rsid w:val="00191C82"/>
    <w:rsid w:val="001C4003"/>
    <w:rsid w:val="001D4DBF"/>
    <w:rsid w:val="001E75CA"/>
    <w:rsid w:val="002265FF"/>
    <w:rsid w:val="00235B97"/>
    <w:rsid w:val="00271B56"/>
    <w:rsid w:val="002A3BD2"/>
    <w:rsid w:val="002C344E"/>
    <w:rsid w:val="002E75E9"/>
    <w:rsid w:val="002F0B1E"/>
    <w:rsid w:val="00307A6A"/>
    <w:rsid w:val="00307C40"/>
    <w:rsid w:val="00320433"/>
    <w:rsid w:val="003230C7"/>
    <w:rsid w:val="00327E50"/>
    <w:rsid w:val="0033597A"/>
    <w:rsid w:val="00343D89"/>
    <w:rsid w:val="0035678A"/>
    <w:rsid w:val="00357F99"/>
    <w:rsid w:val="00362612"/>
    <w:rsid w:val="0036743F"/>
    <w:rsid w:val="003715DD"/>
    <w:rsid w:val="003823E0"/>
    <w:rsid w:val="003A4521"/>
    <w:rsid w:val="003B3E8D"/>
    <w:rsid w:val="003D1C8C"/>
    <w:rsid w:val="0040096C"/>
    <w:rsid w:val="00414F1F"/>
    <w:rsid w:val="004165AD"/>
    <w:rsid w:val="0043125D"/>
    <w:rsid w:val="0043502B"/>
    <w:rsid w:val="004443AC"/>
    <w:rsid w:val="00444B02"/>
    <w:rsid w:val="00451E28"/>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7DB7"/>
    <w:rsid w:val="005C0627"/>
    <w:rsid w:val="005F4F09"/>
    <w:rsid w:val="0061431B"/>
    <w:rsid w:val="00622BAA"/>
    <w:rsid w:val="00624307"/>
    <w:rsid w:val="006306CF"/>
    <w:rsid w:val="006318D8"/>
    <w:rsid w:val="00644E9A"/>
    <w:rsid w:val="00671BD5"/>
    <w:rsid w:val="006805C1"/>
    <w:rsid w:val="00686C21"/>
    <w:rsid w:val="006931C1"/>
    <w:rsid w:val="00694556"/>
    <w:rsid w:val="006B7258"/>
    <w:rsid w:val="006C30C5"/>
    <w:rsid w:val="006D3B31"/>
    <w:rsid w:val="006E0D96"/>
    <w:rsid w:val="006E1A53"/>
    <w:rsid w:val="006F48E1"/>
    <w:rsid w:val="006F56E6"/>
    <w:rsid w:val="00704EDA"/>
    <w:rsid w:val="00721122"/>
    <w:rsid w:val="00734689"/>
    <w:rsid w:val="00753019"/>
    <w:rsid w:val="00754801"/>
    <w:rsid w:val="00761441"/>
    <w:rsid w:val="00783014"/>
    <w:rsid w:val="00795365"/>
    <w:rsid w:val="007A351D"/>
    <w:rsid w:val="007B7765"/>
    <w:rsid w:val="007C5BDD"/>
    <w:rsid w:val="007D45E3"/>
    <w:rsid w:val="007E6115"/>
    <w:rsid w:val="007F4609"/>
    <w:rsid w:val="00814468"/>
    <w:rsid w:val="008176A1"/>
    <w:rsid w:val="0082000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4424E"/>
    <w:rsid w:val="00955642"/>
    <w:rsid w:val="009622DF"/>
    <w:rsid w:val="0096493F"/>
    <w:rsid w:val="00967DFF"/>
    <w:rsid w:val="00994341"/>
    <w:rsid w:val="009D1A48"/>
    <w:rsid w:val="009E1CE7"/>
    <w:rsid w:val="009E4EA5"/>
    <w:rsid w:val="009F164B"/>
    <w:rsid w:val="009F323C"/>
    <w:rsid w:val="00A3392B"/>
    <w:rsid w:val="00A81988"/>
    <w:rsid w:val="00A85E34"/>
    <w:rsid w:val="00A87DF6"/>
    <w:rsid w:val="00A9144F"/>
    <w:rsid w:val="00A94B64"/>
    <w:rsid w:val="00AA3229"/>
    <w:rsid w:val="00AA7596"/>
    <w:rsid w:val="00AB5E52"/>
    <w:rsid w:val="00AC3B02"/>
    <w:rsid w:val="00AC3B7B"/>
    <w:rsid w:val="00AC5209"/>
    <w:rsid w:val="00AE0E34"/>
    <w:rsid w:val="00AE729E"/>
    <w:rsid w:val="00AE7752"/>
    <w:rsid w:val="00AF7FDA"/>
    <w:rsid w:val="00B5356E"/>
    <w:rsid w:val="00B62AD7"/>
    <w:rsid w:val="00B6334C"/>
    <w:rsid w:val="00B66717"/>
    <w:rsid w:val="00B725FE"/>
    <w:rsid w:val="00B809AD"/>
    <w:rsid w:val="00B80CBD"/>
    <w:rsid w:val="00B8215B"/>
    <w:rsid w:val="00B86096"/>
    <w:rsid w:val="00B95D6E"/>
    <w:rsid w:val="00B964D9"/>
    <w:rsid w:val="00BA0A7C"/>
    <w:rsid w:val="00BA517C"/>
    <w:rsid w:val="00BB076B"/>
    <w:rsid w:val="00BB3D05"/>
    <w:rsid w:val="00BB73BE"/>
    <w:rsid w:val="00BC2D89"/>
    <w:rsid w:val="00BD6531"/>
    <w:rsid w:val="00BE05B2"/>
    <w:rsid w:val="00BF1908"/>
    <w:rsid w:val="00C2249A"/>
    <w:rsid w:val="00C22D93"/>
    <w:rsid w:val="00C23458"/>
    <w:rsid w:val="00C31120"/>
    <w:rsid w:val="00C34482"/>
    <w:rsid w:val="00C43648"/>
    <w:rsid w:val="00C50A9F"/>
    <w:rsid w:val="00C642FA"/>
    <w:rsid w:val="00CB2466"/>
    <w:rsid w:val="00CC7622"/>
    <w:rsid w:val="00CC79F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1068A"/>
    <w:rsid w:val="00E25884"/>
    <w:rsid w:val="00E25B55"/>
    <w:rsid w:val="00E31C2B"/>
    <w:rsid w:val="00E42D29"/>
    <w:rsid w:val="00E5426A"/>
    <w:rsid w:val="00E54642"/>
    <w:rsid w:val="00E57A88"/>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48E1"/>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6F48E1"/>
    <w:pPr>
      <w:ind w:left="720"/>
      <w:contextualSpacing/>
    </w:pPr>
    <w:rPr>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02137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D10DC9" w:rsidP="00D10DC9">
          <w:pPr>
            <w:pStyle w:val="E460D38E05664FF79D4EFF282EF8EC9930"/>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BD69D1" w:rsidP="00BD69D1">
          <w:pPr>
            <w:pStyle w:val="4672CCA166BA4F0A892EB1D7BA0002CB4"/>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BD69D1" w:rsidP="00BD69D1">
          <w:pPr>
            <w:pStyle w:val="1C8A38705F7143EA87FF3DEB2C34E7E54"/>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BD69D1" w:rsidP="00BD69D1">
          <w:pPr>
            <w:pStyle w:val="4DC45A2FD697422FAA3CD896A84FA7B44"/>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345C9D"/>
    <w:rsid w:val="0048651F"/>
    <w:rsid w:val="004B017A"/>
    <w:rsid w:val="005157ED"/>
    <w:rsid w:val="00556D67"/>
    <w:rsid w:val="005A06AE"/>
    <w:rsid w:val="00632E50"/>
    <w:rsid w:val="00673B50"/>
    <w:rsid w:val="00744DE5"/>
    <w:rsid w:val="00793995"/>
    <w:rsid w:val="007C6F98"/>
    <w:rsid w:val="007E254A"/>
    <w:rsid w:val="008B4366"/>
    <w:rsid w:val="009133C7"/>
    <w:rsid w:val="009178E4"/>
    <w:rsid w:val="00961B27"/>
    <w:rsid w:val="009A36E7"/>
    <w:rsid w:val="00AA7CE3"/>
    <w:rsid w:val="00B50DB2"/>
    <w:rsid w:val="00B72BC2"/>
    <w:rsid w:val="00B91FA3"/>
    <w:rsid w:val="00BD69D1"/>
    <w:rsid w:val="00BE6557"/>
    <w:rsid w:val="00C96C06"/>
    <w:rsid w:val="00D10DC9"/>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10DC9"/>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D10DC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2337</Words>
  <Characters>11685</Characters>
  <Application>Microsoft Office Word</Application>
  <DocSecurity>0</DocSecurity>
  <Lines>97</Lines>
  <Paragraphs>27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2023-05-21T13:02:00Z</dcterms:created>
  <dcterms:modified xsi:type="dcterms:W3CDTF">2023-05-21T13:02:00Z</dcterms:modified>
</cp:coreProperties>
</file>